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附件1  营业执照</w:t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437505" cy="8263890"/>
            <wp:effectExtent l="0" t="0" r="10795" b="3810"/>
            <wp:docPr id="1" name="图片 1" descr="6bcf990b7b73759c60f680893870b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cf990b7b73759c60f680893870bb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7505" cy="8263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附件2  </w:t>
      </w:r>
      <w:r>
        <w:rPr>
          <w:rFonts w:hint="default"/>
          <w:lang w:val="en-US" w:eastAsia="zh-CN"/>
        </w:rPr>
        <w:t>应急指挥部成员及联系电话一览表</w:t>
      </w:r>
    </w:p>
    <w:p>
      <w:pPr>
        <w:jc w:val="center"/>
        <w:rPr>
          <w:rFonts w:hint="default"/>
          <w:lang w:val="en-US" w:eastAsia="zh-CN"/>
        </w:rPr>
      </w:pPr>
    </w:p>
    <w:tbl>
      <w:tblPr>
        <w:tblStyle w:val="4"/>
        <w:tblW w:w="8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1759"/>
        <w:gridCol w:w="1759"/>
        <w:gridCol w:w="1759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bookmarkStart w:id="0" w:name="_Hlk3298480"/>
            <w:r>
              <w:rPr>
                <w:rFonts w:eastAsia="仿宋"/>
                <w:kern w:val="0"/>
                <w:sz w:val="24"/>
              </w:rPr>
              <w:t>序号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职责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加油站职务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人员姓名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1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总指挥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站经理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王寿海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13516184648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2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副总指挥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加油员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高永辉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13821346502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3</w:t>
            </w:r>
          </w:p>
        </w:tc>
        <w:tc>
          <w:tcPr>
            <w:tcW w:w="1759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成员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加油员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杨明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18526391415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eastAsia="仿宋"/>
                <w:kern w:val="0"/>
                <w:sz w:val="24"/>
              </w:rPr>
              <w:t>4</w:t>
            </w: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加油员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马中花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18822349604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5</w:t>
            </w: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加油员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王安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eastAsia="仿宋"/>
                <w:kern w:val="0"/>
                <w:sz w:val="24"/>
              </w:rPr>
              <w:t>13820078110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6</w:t>
            </w: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加油员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张小和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13602042054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7</w:t>
            </w:r>
          </w:p>
        </w:tc>
        <w:tc>
          <w:tcPr>
            <w:tcW w:w="1759" w:type="dxa"/>
            <w:vMerge w:val="continue"/>
            <w:noWrap w:val="0"/>
            <w:vAlign w:val="center"/>
          </w:tcPr>
          <w:p>
            <w:pPr>
              <w:jc w:val="center"/>
              <w:rPr>
                <w:rFonts w:eastAsia="仿宋"/>
                <w:kern w:val="0"/>
                <w:sz w:val="24"/>
              </w:rPr>
            </w:pP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加油员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hint="eastAsia"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凌雪莲</w:t>
            </w:r>
          </w:p>
        </w:tc>
        <w:tc>
          <w:tcPr>
            <w:tcW w:w="1761" w:type="dxa"/>
            <w:noWrap w:val="0"/>
            <w:vAlign w:val="center"/>
          </w:tcPr>
          <w:p>
            <w:pPr>
              <w:jc w:val="center"/>
              <w:rPr>
                <w:rFonts w:hint="default" w:eastAsia="仿宋"/>
                <w:kern w:val="0"/>
                <w:sz w:val="24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15822682119</w:t>
            </w:r>
          </w:p>
        </w:tc>
      </w:tr>
      <w:bookmarkEnd w:id="0"/>
    </w:tbl>
    <w:p>
      <w:pPr>
        <w:rPr>
          <w:rFonts w:hint="eastAsia" w:eastAsiaTheme="minorEastAsia"/>
          <w:lang w:eastAsia="zh-CN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附件3  外部救援津南区相关部门联系电话一览表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734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津南区环境保护局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eastAsia="zh-CN"/>
              </w:rPr>
              <w:t>022-28523189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津南</w:t>
            </w:r>
            <w:r>
              <w:rPr>
                <w:rFonts w:hint="eastAsia" w:eastAsia="仿宋"/>
                <w:kern w:val="0"/>
                <w:sz w:val="24"/>
              </w:rPr>
              <w:t>区安监局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28399103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lang w:eastAsia="zh-CN"/>
              </w:rPr>
              <w:t>津南</w:t>
            </w:r>
            <w:r>
              <w:rPr>
                <w:rFonts w:hint="eastAsia" w:eastAsia="仿宋"/>
                <w:kern w:val="0"/>
                <w:sz w:val="24"/>
              </w:rPr>
              <w:t>区公安局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28391360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4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</w:rPr>
              <w:t>天津市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津南</w:t>
            </w:r>
            <w:r>
              <w:rPr>
                <w:rFonts w:hint="eastAsia" w:eastAsia="仿宋"/>
                <w:kern w:val="0"/>
                <w:sz w:val="24"/>
              </w:rPr>
              <w:t>区消防支队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5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</w:rPr>
              <w:t>天津市</w:t>
            </w:r>
            <w:r>
              <w:rPr>
                <w:rFonts w:hint="eastAsia" w:eastAsia="仿宋"/>
                <w:kern w:val="0"/>
                <w:sz w:val="24"/>
                <w:lang w:eastAsia="zh-CN"/>
              </w:rPr>
              <w:t>咸水沽</w:t>
            </w:r>
            <w:r>
              <w:rPr>
                <w:rFonts w:hint="eastAsia" w:eastAsia="仿宋"/>
                <w:kern w:val="0"/>
                <w:sz w:val="24"/>
              </w:rPr>
              <w:t>医院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0"/>
                <w:sz w:val="24"/>
                <w:szCs w:val="24"/>
              </w:rPr>
              <w:t>022-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</w:rPr>
              <w:t>-88912404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lang w:val="en-US" w:eastAsia="zh-CN"/>
              </w:rPr>
              <w:t>120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加油站周边企业</w:t>
      </w:r>
      <w:r>
        <w:rPr>
          <w:rFonts w:hint="default" w:ascii="Times New Roman" w:hAnsi="Times New Roman" w:eastAsia="仿宋" w:cs="Times New Roman"/>
          <w:b/>
          <w:bCs w:val="0"/>
          <w:color w:val="auto"/>
          <w:sz w:val="28"/>
          <w:szCs w:val="28"/>
          <w:highlight w:val="none"/>
          <w:lang w:val="en-US" w:eastAsia="zh-CN"/>
        </w:rPr>
        <w:t>联系电话一览表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734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序号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单位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加油站北侧公司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13920408555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2</w:t>
            </w:r>
          </w:p>
        </w:tc>
        <w:tc>
          <w:tcPr>
            <w:tcW w:w="47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加油站南侧公司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highlight w:val="none"/>
                <w:lang w:val="en-US" w:eastAsia="zh-CN"/>
              </w:rPr>
              <w:t>1331218970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 w:firstLineChars="0"/>
        <w:jc w:val="center"/>
        <w:textAlignment w:val="auto"/>
        <w:rPr>
          <w:rFonts w:hint="eastAsia"/>
          <w:lang w:val="en-US" w:eastAsia="zh-CN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  <w:bookmarkStart w:id="1" w:name="_GoBack"/>
      <w:bookmarkEnd w:id="1"/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附件4  应急培训计划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为全面提升企业对灾害事故处理的应急能力与应急意识，对该站内所有人员应每年定期对员工进行应急培训与演习，确定以下应急培训计划：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（1）应急救援人员常识培训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7"/>
        <w:gridCol w:w="2430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培训对象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培训时间</w:t>
            </w:r>
          </w:p>
        </w:tc>
        <w:tc>
          <w:tcPr>
            <w:tcW w:w="5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培训常识内容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5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全站所有员工</w:t>
            </w:r>
          </w:p>
        </w:tc>
        <w:tc>
          <w:tcPr>
            <w:tcW w:w="2430" w:type="dxa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每年六月份，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培训课时2-6小时</w:t>
            </w:r>
          </w:p>
        </w:tc>
        <w:tc>
          <w:tcPr>
            <w:tcW w:w="5114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生产安全事故应急综合预案；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相关法律法规；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岗位应急处置措施；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4. 预防与避险常识；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5. 自救与互救技能；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6. 抢险救灾器材使用。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（2）站内应急救援人员专业培训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消防训练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1848"/>
        <w:gridCol w:w="5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9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训练对象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训练时间</w:t>
            </w:r>
          </w:p>
        </w:tc>
        <w:tc>
          <w:tcPr>
            <w:tcW w:w="5114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439" w:type="dxa"/>
            <w:vAlign w:val="top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应变队伍及义务消防队成员重点</w:t>
            </w:r>
            <w:r>
              <w:rPr>
                <w:rFonts w:hint="eastAsia" w:ascii="仿宋" w:eastAsia="仿宋"/>
                <w:sz w:val="24"/>
                <w:szCs w:val="24"/>
                <w:lang w:eastAsia="zh-CN"/>
              </w:rPr>
              <w:t>训练</w:t>
            </w:r>
            <w:r>
              <w:rPr>
                <w:rFonts w:ascii="仿宋" w:eastAsia="仿宋"/>
                <w:sz w:val="24"/>
                <w:szCs w:val="24"/>
              </w:rPr>
              <w:t>，</w:t>
            </w:r>
            <w:r>
              <w:rPr>
                <w:rFonts w:hint="eastAsia" w:ascii="仿宋" w:eastAsia="仿宋"/>
                <w:sz w:val="24"/>
                <w:szCs w:val="24"/>
              </w:rPr>
              <w:t>其它全体人员需参加</w:t>
            </w:r>
          </w:p>
        </w:tc>
        <w:tc>
          <w:tcPr>
            <w:tcW w:w="1848" w:type="dxa"/>
            <w:vAlign w:val="center"/>
          </w:tcPr>
          <w:p>
            <w:pPr>
              <w:jc w:val="center"/>
              <w:rPr>
                <w:rFonts w:hint="eastAsia"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每年一次，</w:t>
            </w:r>
          </w:p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不少于2 课时</w:t>
            </w:r>
          </w:p>
        </w:tc>
        <w:tc>
          <w:tcPr>
            <w:tcW w:w="5114" w:type="dxa"/>
            <w:vAlign w:val="top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了解主要事故的性质、危害及其扑救知识；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了解自己的岗位职责和抢险任务；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按照抢险要求进行训练。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泄漏堵源技术训练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2047"/>
        <w:gridCol w:w="2047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训练类别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训练对象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训练时间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训练内容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油气泄漏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抢修队成员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不少于24 小时</w:t>
            </w:r>
          </w:p>
        </w:tc>
        <w:tc>
          <w:tcPr>
            <w:tcW w:w="3260" w:type="dxa"/>
          </w:tcPr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1. 确认泄漏物质；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2. 泄漏点查找；</w:t>
            </w:r>
          </w:p>
          <w:p>
            <w:pPr>
              <w:rPr>
                <w:rFonts w:ascii="仿宋" w:eastAsia="仿宋"/>
                <w:sz w:val="24"/>
                <w:szCs w:val="24"/>
              </w:rPr>
            </w:pPr>
            <w:r>
              <w:rPr>
                <w:rFonts w:hint="eastAsia" w:ascii="仿宋" w:eastAsia="仿宋"/>
                <w:sz w:val="24"/>
                <w:szCs w:val="24"/>
              </w:rPr>
              <w:t>3. 泄漏物处理；。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附件5  突发环境事件应急处置卡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仿宋" w:eastAsia="仿宋"/>
          <w:sz w:val="28"/>
        </w:rPr>
      </w:pPr>
      <w:r>
        <w:rPr>
          <w:rFonts w:hint="eastAsia" w:ascii="仿宋" w:eastAsia="仿宋"/>
          <w:sz w:val="28"/>
        </w:rPr>
        <w:t>油品泄漏应急处置卡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610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事件类型</w:t>
            </w:r>
          </w:p>
        </w:tc>
        <w:tc>
          <w:tcPr>
            <w:tcW w:w="610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处置方案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加油站油品泄漏污水排放等环境污染事件</w:t>
            </w: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当发现油品泄漏、污水排放引起土壤、水体等环境污染事件时，现场员工立即停止相关作业，向站长报告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现场加油人员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站长接报，迅速进入现场，根据污染状况，启动预案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停止营业，切断电源；疏散无关车辆、人员，划出经济区域，消防器材摆放到位；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应急处置队伍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油品泄漏采取关闭阀门、用防汛沙设置围堰，进行围堵，然后回收，关闭雨水井阀门，控制泄漏扩散。防止泄漏造成土壤和和水体污染。情况严重时，立即上报，请求支援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对漏油、含油废水、吸油废物按照规定进行处置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由公司指派人员进行信息发布，及与政府、周边企业的对外联络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10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现场处置完毕，按照应急指挥部的指令恢复营业</w:t>
            </w: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9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注意事项</w:t>
            </w:r>
          </w:p>
        </w:tc>
        <w:tc>
          <w:tcPr>
            <w:tcW w:w="6105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发生油品泄漏时，启动油品泄漏预案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.现场处置禁止使用产生火花和静电的器具，涉及到用火、破土等相关作业时，落实好相关安全措施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.做好自身防护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eastAsia="仿宋"/>
          <w:sz w:val="28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eastAsia="仿宋"/>
          <w:sz w:val="28"/>
        </w:rPr>
        <w:sectPr>
          <w:type w:val="continuous"/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eastAsia="仿宋"/>
          <w:sz w:val="28"/>
        </w:rPr>
      </w:pPr>
      <w:r>
        <w:rPr>
          <w:rFonts w:hint="eastAsia" w:ascii="仿宋" w:eastAsia="仿宋"/>
          <w:sz w:val="28"/>
        </w:rPr>
        <w:t>油品火灾应急处置卡</w:t>
      </w:r>
    </w:p>
    <w:tbl>
      <w:tblPr>
        <w:tblStyle w:val="4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075"/>
        <w:gridCol w:w="1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事件类型</w:t>
            </w:r>
          </w:p>
        </w:tc>
        <w:tc>
          <w:tcPr>
            <w:tcW w:w="6075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处置方案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加油站油品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着火等环境</w:t>
            </w:r>
          </w:p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污染事件</w:t>
            </w: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当发现油品着火时，停止作业，同时向站长报告，关闭储油阀并拆掉卸油胶管和接地装置，将罐车驶离加油站至安全地带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现场加油人员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站长接报，迅速进入现场，根据污染状况，启动预案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副总指挥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hint="eastAsia"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火势较小立即使用就近的灭火器、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灭火毯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、消防沙等进行扑救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同时疏散无关车辆、人员；火势较大应立即关闭阀门，切断电源，并充分利用罩棚内配置的灭火器材或消防栓等进行扑救。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参与火灾救援人员应穿戴防护面具，携带照明器材、就近提取灭火器，保证人员安全的情况下实施扑救。如果发现火灾有扩大的趋势，立即拨打 119 报警电话，请求当地消防队支援</w:t>
            </w:r>
            <w:r>
              <w:rPr>
                <w:rFonts w:hint="eastAsia" w:ascii="Times New Roman" w:hAnsi="Times New Roman" w:eastAsia="仿宋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"/>
                <w:sz w:val="24"/>
                <w:szCs w:val="24"/>
              </w:rPr>
              <w:t>疏散无关车辆、人员</w:t>
            </w:r>
          </w:p>
        </w:tc>
        <w:tc>
          <w:tcPr>
            <w:tcW w:w="181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FFC000"/>
                <w:sz w:val="24"/>
                <w:szCs w:val="24"/>
              </w:rPr>
            </w:pPr>
            <w:r>
              <w:rPr>
                <w:rFonts w:ascii="Times New Roman" w:hAnsi="Times New Roman" w:eastAsia="仿宋"/>
                <w:sz w:val="24"/>
                <w:szCs w:val="24"/>
              </w:rPr>
              <w:t>应急处置队伍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封堵雨水井管道，防止油品及含油废水流出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由公司指派人员进行信息发布，及与政府、周边企业的对外联络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Merge w:val="continue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现场伤员及物品处置，按照应急指挥部的指令恢复营业</w:t>
            </w:r>
          </w:p>
        </w:tc>
        <w:tc>
          <w:tcPr>
            <w:tcW w:w="1814" w:type="dxa"/>
            <w:vMerge w:val="continue"/>
            <w:vAlign w:val="center"/>
          </w:tcPr>
          <w:p>
            <w:pPr>
              <w:rPr>
                <w:rFonts w:ascii="Times New Roman" w:hAnsi="Times New Roman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注意事项</w:t>
            </w:r>
          </w:p>
        </w:tc>
        <w:tc>
          <w:tcPr>
            <w:tcW w:w="6075" w:type="dxa"/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1、当人体着火时不能用灭火器喷射头部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2、现场有人受伤或窒息时，应立即将人撤离到空旷通风地带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3、火势较大时立即拨打119报警电话和应急指挥部电话</w:t>
            </w:r>
          </w:p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4、发生油罐区火灾时，必须确保加油站消防通道畅通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/>
                <w:sz w:val="24"/>
                <w:szCs w:val="24"/>
              </w:rPr>
              <w:t>/</w:t>
            </w:r>
          </w:p>
        </w:tc>
      </w:tr>
    </w:tbl>
    <w:p>
      <w:pPr>
        <w:rPr>
          <w:rFonts w:hint="eastAsia"/>
          <w:lang w:val="en-US" w:eastAsia="zh-CN"/>
        </w:rPr>
        <w:sectPr>
          <w:pgSz w:w="11906" w:h="16838"/>
          <w:pgMar w:top="1134" w:right="1134" w:bottom="1134" w:left="1587" w:header="851" w:footer="992" w:gutter="0"/>
          <w:cols w:space="425" w:num="1"/>
          <w:docGrid w:type="lines" w:linePitch="312" w:charSpace="0"/>
        </w:sect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附件6  危化证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8002270" cy="5913120"/>
            <wp:effectExtent l="0" t="0" r="11430" b="17780"/>
            <wp:docPr id="2" name="图片 2" descr="f65932e7c729e3a4648aee95af5ca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65932e7c729e3a4648aee95af5ca0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002270" cy="591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13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989A93"/>
    <w:multiLevelType w:val="multilevel"/>
    <w:tmpl w:val="FA989A93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03A08"/>
    <w:rsid w:val="142816A3"/>
    <w:rsid w:val="202B1567"/>
    <w:rsid w:val="29556CEC"/>
    <w:rsid w:val="2A1C046D"/>
    <w:rsid w:val="2AA84195"/>
    <w:rsid w:val="2B044322"/>
    <w:rsid w:val="31274B10"/>
    <w:rsid w:val="355F23BB"/>
    <w:rsid w:val="38383A26"/>
    <w:rsid w:val="39C8567A"/>
    <w:rsid w:val="44FC57AF"/>
    <w:rsid w:val="48647E4C"/>
    <w:rsid w:val="4BC61FA9"/>
    <w:rsid w:val="50E11BF5"/>
    <w:rsid w:val="53836ED8"/>
    <w:rsid w:val="576029A2"/>
    <w:rsid w:val="5A347B73"/>
    <w:rsid w:val="5DBF706A"/>
    <w:rsid w:val="5EF03A08"/>
    <w:rsid w:val="645455D4"/>
    <w:rsid w:val="6F7432F4"/>
    <w:rsid w:val="7A1E63AE"/>
    <w:rsid w:val="7F68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ascii="Times New Roman" w:hAnsi="Times New Roman" w:eastAsia="仿宋"/>
      <w:b/>
      <w:kern w:val="44"/>
      <w:sz w:val="28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1532</Words>
  <Characters>1767</Characters>
  <Lines>0</Lines>
  <Paragraphs>0</Paragraphs>
  <TotalTime>15</TotalTime>
  <ScaleCrop>false</ScaleCrop>
  <LinksUpToDate>false</LinksUpToDate>
  <CharactersWithSpaces>1797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2019-06-25T00:39:00Z</dcterms:created>
  <dc:creator>Administrator</dc:creator>
  <cp:lastModifiedBy>lhj</cp:lastModifiedBy>
  <dcterms:modified xsi:type="dcterms:W3CDTF">2019-07-18T03:48:29Z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