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right" w:leader="dot" w:pos="8296"/>
        </w:tabs>
        <w:adjustRightInd w:val="0"/>
        <w:snapToGrid w:val="0"/>
        <w:spacing w:line="240" w:lineRule="auto"/>
        <w:jc w:val="center"/>
        <w:rPr>
          <w:rFonts w:hint="default" w:ascii="Times New Roman" w:hAnsi="Times New Roman" w:eastAsia="宋体" w:cs="Times New Roman"/>
          <w:bCs/>
          <w:color w:val="auto"/>
          <w:kern w:val="2"/>
          <w:sz w:val="44"/>
          <w:szCs w:val="44"/>
          <w:highlight w:val="none"/>
          <w:shd w:val="clear" w:color="auto" w:fill="auto"/>
          <w:lang w:val="en-US" w:eastAsia="zh-CN" w:bidi="ar-SA"/>
        </w:rPr>
      </w:pPr>
    </w:p>
    <w:p>
      <w:pPr>
        <w:widowControl w:val="0"/>
        <w:tabs>
          <w:tab w:val="right" w:leader="dot" w:pos="8296"/>
        </w:tabs>
        <w:adjustRightInd w:val="0"/>
        <w:snapToGrid w:val="0"/>
        <w:spacing w:line="240" w:lineRule="auto"/>
        <w:jc w:val="center"/>
        <w:rPr>
          <w:rFonts w:hint="default" w:ascii="Times New Roman" w:hAnsi="Times New Roman" w:eastAsia="宋体" w:cs="Times New Roman"/>
          <w:bCs/>
          <w:color w:val="auto"/>
          <w:kern w:val="2"/>
          <w:sz w:val="44"/>
          <w:szCs w:val="44"/>
          <w:highlight w:val="none"/>
          <w:shd w:val="clear" w:color="auto" w:fill="auto"/>
          <w:lang w:val="en-US" w:eastAsia="zh-CN" w:bidi="ar-SA"/>
        </w:rPr>
      </w:pPr>
    </w:p>
    <w:p>
      <w:pPr>
        <w:spacing w:line="240" w:lineRule="auto"/>
        <w:rPr>
          <w:rFonts w:hint="default"/>
        </w:rPr>
      </w:pPr>
    </w:p>
    <w:p>
      <w:pPr>
        <w:widowControl w:val="0"/>
        <w:tabs>
          <w:tab w:val="right" w:leader="dot" w:pos="8296"/>
        </w:tabs>
        <w:adjustRightInd w:val="0"/>
        <w:snapToGrid w:val="0"/>
        <w:spacing w:line="240" w:lineRule="auto"/>
        <w:jc w:val="center"/>
        <w:rPr>
          <w:rFonts w:hint="default" w:ascii="Times New Roman" w:hAnsi="Times New Roman" w:eastAsia="宋体" w:cs="Times New Roman"/>
          <w:bCs/>
          <w:color w:val="auto"/>
          <w:kern w:val="2"/>
          <w:sz w:val="44"/>
          <w:szCs w:val="44"/>
          <w:highlight w:val="none"/>
          <w:shd w:val="clear" w:color="auto" w:fill="auto"/>
          <w:lang w:val="en-US" w:eastAsia="zh-CN" w:bidi="ar-SA"/>
        </w:rPr>
      </w:pPr>
    </w:p>
    <w:p>
      <w:pPr>
        <w:spacing w:line="800" w:lineRule="atLeast"/>
        <w:jc w:val="center"/>
        <w:rPr>
          <w:rFonts w:hint="default" w:ascii="Times New Roman" w:hAnsi="Times New Roman" w:eastAsia="宋体" w:cs="Times New Roman"/>
          <w:b/>
          <w:bCs/>
          <w:color w:val="auto"/>
          <w:spacing w:val="-20"/>
          <w:sz w:val="36"/>
          <w:szCs w:val="36"/>
          <w:lang w:eastAsia="zh-CN"/>
        </w:rPr>
      </w:pPr>
      <w:r>
        <w:rPr>
          <w:rFonts w:hint="default" w:ascii="Times New Roman" w:hAnsi="Times New Roman" w:eastAsia="宋体" w:cs="Times New Roman"/>
          <w:b/>
          <w:bCs/>
          <w:color w:val="auto"/>
          <w:spacing w:val="-20"/>
          <w:sz w:val="36"/>
          <w:szCs w:val="36"/>
          <w:lang w:eastAsia="zh-CN"/>
        </w:rPr>
        <w:t>《</w:t>
      </w:r>
      <w:r>
        <w:rPr>
          <w:rFonts w:hint="eastAsia" w:cs="Times New Roman"/>
          <w:b/>
          <w:bCs/>
          <w:color w:val="auto"/>
          <w:spacing w:val="-20"/>
          <w:sz w:val="36"/>
          <w:szCs w:val="36"/>
          <w:lang w:eastAsia="zh-CN"/>
        </w:rPr>
        <w:t>中国石油天然气股份有限公司天津销售分公司津南</w:t>
      </w:r>
      <w:r>
        <w:rPr>
          <w:rFonts w:hint="eastAsia" w:cs="Times New Roman"/>
          <w:b/>
          <w:bCs/>
          <w:color w:val="auto"/>
          <w:spacing w:val="-20"/>
          <w:sz w:val="36"/>
          <w:szCs w:val="36"/>
          <w:lang w:val="en-US" w:eastAsia="zh-CN"/>
        </w:rPr>
        <w:t>区殿祥</w:t>
      </w:r>
      <w:r>
        <w:rPr>
          <w:rFonts w:hint="eastAsia" w:cs="Times New Roman"/>
          <w:b/>
          <w:bCs/>
          <w:color w:val="auto"/>
          <w:spacing w:val="-20"/>
          <w:sz w:val="36"/>
          <w:szCs w:val="36"/>
          <w:lang w:eastAsia="zh-CN"/>
        </w:rPr>
        <w:t>加油站</w:t>
      </w:r>
      <w:r>
        <w:rPr>
          <w:rFonts w:hint="default" w:ascii="Times New Roman" w:hAnsi="Times New Roman" w:eastAsia="宋体" w:cs="Times New Roman"/>
          <w:b/>
          <w:bCs/>
          <w:color w:val="auto"/>
          <w:spacing w:val="-20"/>
          <w:sz w:val="36"/>
          <w:szCs w:val="36"/>
          <w:lang w:eastAsia="zh-CN"/>
        </w:rPr>
        <w:t>突发环境事件应急预案》</w:t>
      </w:r>
    </w:p>
    <w:p>
      <w:pPr>
        <w:widowControl w:val="0"/>
        <w:adjustRightInd/>
        <w:snapToGrid/>
        <w:spacing w:before="156" w:beforeLines="50" w:after="240" w:line="480" w:lineRule="auto"/>
        <w:jc w:val="center"/>
        <w:rPr>
          <w:rFonts w:hint="default" w:ascii="Times New Roman" w:hAnsi="Times New Roman" w:eastAsia="宋体" w:cs="Times New Roman"/>
          <w:b/>
          <w:bCs/>
          <w:color w:val="auto"/>
          <w:kern w:val="2"/>
          <w:sz w:val="44"/>
          <w:szCs w:val="44"/>
          <w:highlight w:val="none"/>
          <w:lang w:val="en-US" w:eastAsia="zh-CN" w:bidi="ar-SA"/>
        </w:rPr>
      </w:pPr>
      <w:r>
        <w:rPr>
          <w:rFonts w:hint="default" w:ascii="Times New Roman" w:hAnsi="Times New Roman" w:eastAsia="宋体" w:cs="Times New Roman"/>
          <w:b/>
          <w:bCs/>
          <w:color w:val="auto"/>
          <w:kern w:val="2"/>
          <w:sz w:val="44"/>
          <w:szCs w:val="44"/>
          <w:highlight w:val="none"/>
          <w:lang w:val="en-US" w:eastAsia="zh-CN" w:bidi="ar-SA"/>
        </w:rPr>
        <w:t>编制说明</w:t>
      </w:r>
    </w:p>
    <w:p>
      <w:pPr>
        <w:spacing w:line="240" w:lineRule="auto"/>
        <w:rPr>
          <w:rFonts w:hint="default" w:ascii="Times New Roman" w:hAnsi="Times New Roman" w:eastAsia="宋体" w:cs="Times New Roman"/>
          <w:color w:val="auto"/>
          <w:sz w:val="44"/>
          <w:szCs w:val="44"/>
          <w:highlight w:val="none"/>
          <w:shd w:val="clear" w:color="auto" w:fill="auto"/>
          <w:lang w:bidi="ar-SA"/>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widowControl w:val="0"/>
        <w:adjustRightInd w:val="0"/>
        <w:snapToGrid w:val="0"/>
        <w:spacing w:line="360" w:lineRule="auto"/>
        <w:jc w:val="both"/>
        <w:rPr>
          <w:rFonts w:hint="default" w:ascii="Times New Roman" w:hAnsi="Times New Roman" w:eastAsia="宋体" w:cs="Times New Roman"/>
          <w:color w:val="auto"/>
          <w:kern w:val="2"/>
          <w:sz w:val="24"/>
          <w:highlight w:val="none"/>
          <w:lang w:val="en-US" w:eastAsia="zh-CN" w:bidi="ar-SA"/>
        </w:rPr>
      </w:pPr>
    </w:p>
    <w:p>
      <w:pPr>
        <w:widowControl w:val="0"/>
        <w:adjustRightInd w:val="0"/>
        <w:snapToGrid w:val="0"/>
        <w:spacing w:line="240" w:lineRule="auto"/>
        <w:jc w:val="center"/>
        <w:textAlignment w:val="baseline"/>
        <w:rPr>
          <w:rFonts w:hint="default" w:ascii="Times New Roman" w:hAnsi="Times New Roman" w:eastAsia="宋体" w:cs="Times New Roman"/>
          <w:color w:val="auto"/>
          <w:kern w:val="2"/>
          <w:sz w:val="21"/>
          <w:highlight w:val="none"/>
          <w:lang w:val="en-US" w:eastAsia="zh-CN" w:bidi="ar-SA"/>
        </w:rPr>
      </w:pPr>
    </w:p>
    <w:p>
      <w:pPr>
        <w:numPr>
          <w:ilvl w:val="0"/>
          <w:numId w:val="0"/>
        </w:numPr>
        <w:tabs>
          <w:tab w:val="left" w:pos="0"/>
        </w:tabs>
        <w:spacing w:before="0" w:beforeLines="0" w:after="0" w:afterLines="0"/>
        <w:ind w:left="0"/>
        <w:jc w:val="both"/>
        <w:outlineLvl w:val="4"/>
        <w:rPr>
          <w:rFonts w:hint="default" w:ascii="黑体" w:hAnsi="Times New Roman" w:eastAsia="黑体" w:cs="Times New Roman"/>
          <w:sz w:val="21"/>
          <w:lang w:val="en-US" w:eastAsia="zh-CN" w:bidi="ar-SA"/>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adjustRightInd w:val="0"/>
        <w:snapToGrid w:val="0"/>
        <w:spacing w:line="240" w:lineRule="auto"/>
        <w:rPr>
          <w:rFonts w:hint="default" w:ascii="Times New Roman" w:hAnsi="Times New Roman" w:eastAsia="宋体" w:cs="Times New Roman"/>
          <w:color w:val="auto"/>
          <w:sz w:val="28"/>
          <w:szCs w:val="28"/>
          <w:highlight w:val="none"/>
          <w:lang w:bidi="ar-SA"/>
        </w:rPr>
      </w:pPr>
    </w:p>
    <w:p>
      <w:pPr>
        <w:widowControl w:val="0"/>
        <w:tabs>
          <w:tab w:val="right" w:leader="dot" w:pos="8296"/>
        </w:tabs>
        <w:adjustRightInd w:val="0"/>
        <w:snapToGrid w:val="0"/>
        <w:spacing w:line="360" w:lineRule="auto"/>
        <w:jc w:val="center"/>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中国石油天然气股份有限公司天津销售分公司津南区殿祥加油站</w:t>
      </w:r>
    </w:p>
    <w:p>
      <w:pPr>
        <w:widowControl w:val="0"/>
        <w:adjustRightInd w:val="0"/>
        <w:snapToGrid w:val="0"/>
        <w:spacing w:line="360" w:lineRule="auto"/>
        <w:ind w:left="0" w:firstLine="0"/>
        <w:jc w:val="center"/>
        <w:rPr>
          <w:rFonts w:hint="eastAsia" w:ascii="仿宋" w:hAnsi="仿宋" w:eastAsia="仿宋" w:cs="仿宋"/>
          <w:b/>
          <w:bCs/>
          <w:color w:val="auto"/>
          <w:kern w:val="2"/>
          <w:sz w:val="28"/>
          <w:highlight w:val="none"/>
          <w:shd w:val="clear" w:color="auto" w:fill="auto"/>
          <w:lang w:val="en-US" w:eastAsia="zh-CN" w:bidi="ar-SA"/>
        </w:rPr>
      </w:pPr>
      <w:r>
        <w:rPr>
          <w:rFonts w:hint="eastAsia" w:ascii="仿宋" w:hAnsi="仿宋" w:eastAsia="仿宋" w:cs="仿宋"/>
          <w:b/>
          <w:bCs/>
          <w:color w:val="auto"/>
          <w:kern w:val="2"/>
          <w:sz w:val="28"/>
          <w:highlight w:val="none"/>
          <w:shd w:val="clear" w:color="auto" w:fill="auto"/>
          <w:lang w:val="en-US" w:eastAsia="zh-CN" w:bidi="ar-SA"/>
        </w:rPr>
        <w:t>二〇一九年八月</w:t>
      </w:r>
    </w:p>
    <w:p>
      <w:pPr>
        <w:spacing w:line="240" w:lineRule="auto"/>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highlight w:val="none"/>
        </w:rPr>
        <w:sectPr>
          <w:headerReference r:id="rId3" w:type="default"/>
          <w:pgSz w:w="11907" w:h="16839"/>
          <w:pgMar w:top="1440" w:right="1800" w:bottom="1440" w:left="1800" w:header="851" w:footer="992" w:gutter="0"/>
          <w:pgNumType w:start="1"/>
          <w:titlePg/>
          <w:docGrid w:type="lines" w:linePitch="312" w:charSpace="0"/>
        </w:sect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pacing w:line="240" w:lineRule="auto"/>
        <w:rPr>
          <w:rFonts w:hint="default" w:ascii="Times New Roman" w:hAnsi="Times New Roman" w:eastAsia="宋体" w:cs="Times New Roman"/>
          <w:color w:val="auto"/>
          <w:highlight w:val="none"/>
        </w:rPr>
      </w:pPr>
    </w:p>
    <w:p>
      <w:pPr>
        <w:snapToGrid w:val="0"/>
        <w:spacing w:line="360" w:lineRule="auto"/>
        <w:ind w:firstLine="560" w:firstLineChars="200"/>
        <w:rPr>
          <w:rFonts w:hint="default" w:ascii="Times New Roman" w:hAnsi="Times New Roman" w:eastAsia="宋体" w:cs="Times New Roman"/>
          <w:color w:val="auto"/>
          <w:sz w:val="28"/>
          <w:szCs w:val="28"/>
        </w:rPr>
        <w:sectPr>
          <w:footerReference r:id="rId5" w:type="first"/>
          <w:footerReference r:id="rId4" w:type="default"/>
          <w:pgSz w:w="11907" w:h="16839"/>
          <w:pgMar w:top="1440" w:right="1800" w:bottom="1440" w:left="1800" w:header="851" w:footer="992" w:gutter="0"/>
          <w:pgNumType w:start="1"/>
          <w:docGrid w:type="lines" w:linePitch="312" w:charSpace="0"/>
        </w:sectPr>
      </w:pPr>
      <w:bookmarkStart w:id="0" w:name="_Toc13148145"/>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本《预案》为中国石油天然气股份有限公司天津销售分公司津南区殿祥加油站突发环境事件应急预案，编制情况说明如下。</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240" w:lineRule="auto"/>
        <w:ind w:firstLine="562" w:firstLineChars="200"/>
        <w:jc w:val="both"/>
        <w:textAlignment w:val="auto"/>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一、《预案》编制背景</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根据天津市环保局发布的《市环保局关于做好企业事业单位突发环境事件应急预案备案管理工作的通知》（津环保应[2015]40号）中的规定，同时根据国家、天津市相关的法律要求，编制本《预案》（（包括风险评估报告、应急资源调查报告、应急预案文本及编制说明），完成本预案编制后提交上级主管部门备案。</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240" w:lineRule="auto"/>
        <w:ind w:firstLine="562" w:firstLineChars="200"/>
        <w:jc w:val="both"/>
        <w:textAlignment w:val="auto"/>
        <w:outlineLvl w:val="0"/>
        <w:rPr>
          <w:rFonts w:hint="eastAsia" w:ascii="仿宋" w:hAnsi="仿宋" w:eastAsia="仿宋" w:cs="仿宋"/>
          <w:b/>
          <w:bCs/>
          <w:color w:val="auto"/>
          <w:kern w:val="2"/>
          <w:sz w:val="28"/>
          <w:szCs w:val="28"/>
          <w:lang w:val="en-US" w:eastAsia="zh-CN" w:bidi="ar-SA"/>
        </w:rPr>
      </w:pPr>
      <w:bookmarkStart w:id="1" w:name="_Toc524250043"/>
      <w:bookmarkStart w:id="2" w:name="_Toc532687431"/>
      <w:r>
        <w:rPr>
          <w:rFonts w:hint="eastAsia" w:ascii="仿宋" w:hAnsi="仿宋" w:eastAsia="仿宋" w:cs="仿宋"/>
          <w:b/>
          <w:bCs/>
          <w:color w:val="auto"/>
          <w:kern w:val="2"/>
          <w:sz w:val="28"/>
          <w:szCs w:val="28"/>
          <w:lang w:val="en-US" w:eastAsia="zh-CN" w:bidi="ar-SA"/>
        </w:rPr>
        <w:t>二、《预案》编制依据</w:t>
      </w:r>
      <w:bookmarkEnd w:id="1"/>
      <w:bookmarkEnd w:id="2"/>
      <w:r>
        <w:rPr>
          <w:rFonts w:hint="eastAsia" w:ascii="仿宋" w:hAnsi="仿宋" w:eastAsia="仿宋" w:cs="仿宋"/>
          <w:b/>
          <w:bCs/>
          <w:color w:val="auto"/>
          <w:kern w:val="2"/>
          <w:sz w:val="28"/>
          <w:szCs w:val="28"/>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560"/>
        <w:textAlignment w:val="auto"/>
        <w:rPr>
          <w:rFonts w:hint="eastAsia" w:ascii="仿宋" w:hAnsi="仿宋" w:eastAsia="仿宋" w:cs="仿宋"/>
          <w:color w:val="auto"/>
          <w:kern w:val="2"/>
          <w:sz w:val="28"/>
          <w:szCs w:val="28"/>
          <w:lang w:val="en-US" w:eastAsia="zh-CN" w:bidi="ar-SA"/>
        </w:rPr>
      </w:pPr>
      <w:bookmarkStart w:id="3" w:name="_Toc395252142"/>
      <w:r>
        <w:rPr>
          <w:rFonts w:hint="eastAsia" w:ascii="仿宋" w:hAnsi="仿宋" w:eastAsia="仿宋" w:cs="仿宋"/>
          <w:color w:val="auto"/>
          <w:kern w:val="2"/>
          <w:sz w:val="28"/>
          <w:szCs w:val="28"/>
          <w:lang w:val="en-US" w:eastAsia="zh-CN" w:bidi="ar-SA"/>
        </w:rPr>
        <w:t>“中国石油天然气股份有限公司天津销售分公司津南区殿祥加油站突发环境事件应急预案”，是应对中国石油天然气股份有限公司天津销售分公司津南区殿祥加油站突发环境事件的指导性文件。《预案》是依据《中华人民共和国环境保护法》、《中华人民共和国安全生产法》、《中华人民共和国突发事件应对法》、《天津市突发环境事件应急预案》等法律法规和有关规定编制的，同时结合本企业实际，经过多次讨论修改完成的，具有较强的针对性、规范性和可操作性。</w:t>
      </w:r>
    </w:p>
    <w:bookmarkEnd w:id="3"/>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240" w:lineRule="auto"/>
        <w:ind w:firstLine="562" w:firstLineChars="200"/>
        <w:jc w:val="both"/>
        <w:textAlignment w:val="auto"/>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三、《预案》编制过程</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环境保护部公布了《突发环境事件应急管理办法》后，公司高度重视，立即启动《预案》编制准备工作，成立了《预案》编制组，责成专人落实编写工作。通过研究学习、资料收集、专家评审等多种形式，形成了本《预案》。</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主要编制过程分为以下阶段：</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outlineLvl w:val="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（一）成立应急预案编制组。</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应急预案编制组由应急现场指挥张洁、应急队伍成员张耿雨等人配合预案编制工作。</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（二）开展环境风险评估与应急资源调查</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应急预案编制组成员对企业生产工艺、治理设施、危险化学品及危险废物存储等开展环境风险评估，同时对目前厂区内应急资源进行调查及记录。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outlineLvl w:val="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（三）征求意见调查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outlineLvl w:val="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主要是征求关键岗位员工和可能受影响的居民、单位代表的意见，可以通过发放问卷调查的方式，全面了解可能受影响的居民的态度及意见。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outlineLvl w:val="0"/>
        <w:rPr>
          <w:rFonts w:hint="eastAsia" w:ascii="仿宋" w:hAnsi="仿宋" w:eastAsia="仿宋" w:cs="仿宋"/>
          <w:color w:val="auto"/>
          <w:kern w:val="2"/>
          <w:sz w:val="28"/>
          <w:szCs w:val="28"/>
          <w:lang w:val="en-US" w:eastAsia="zh-CN" w:bidi="ar-SA"/>
        </w:rPr>
      </w:pPr>
      <w:r>
        <w:rPr>
          <w:rFonts w:hint="default" w:ascii="仿宋" w:hAnsi="仿宋" w:eastAsia="仿宋" w:cs="仿宋"/>
          <w:color w:val="auto"/>
          <w:kern w:val="2"/>
          <w:sz w:val="28"/>
          <w:szCs w:val="28"/>
          <w:lang w:val="en-US" w:eastAsia="zh-CN" w:bidi="ar-SA"/>
        </w:rPr>
        <w:t>（</w:t>
      </w:r>
      <w:r>
        <w:rPr>
          <w:rFonts w:hint="eastAsia" w:ascii="仿宋" w:hAnsi="仿宋" w:eastAsia="仿宋" w:cs="仿宋"/>
          <w:color w:val="auto"/>
          <w:kern w:val="2"/>
          <w:sz w:val="28"/>
          <w:szCs w:val="28"/>
          <w:lang w:val="en-US" w:eastAsia="zh-CN" w:bidi="ar-SA"/>
        </w:rPr>
        <w:t>四）预案编制与修订</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按照《企业事业单位突发环境事件应急预案备案管理办法（试行）》的相关要求，对本企业进行环境风险评估和应急资源调查，并开展征求意见工作，征求员工和可能受影响的居民和单位代表的意见。在此基础上，有针对性的编制了本企业的突发环境风险应急预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《预案》初稿形成后，公司组织预案编制组各成员及部门负责人员进行了内部审查，开会讨论，对各项内容进行了核实和修改，形成了《预案》送审稿。</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（五）推演</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应急预案编制完成后，应急预案编制组成员应主持公司所有员工按照应急预案编制中所列应急方案进行桌面推演或现场演练，对发现的问题及时调整。</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240" w:lineRule="auto"/>
        <w:ind w:firstLine="562" w:firstLineChars="200"/>
        <w:jc w:val="both"/>
        <w:textAlignment w:val="auto"/>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四、重点内容</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本预案在企业环境风险评估和应急物资调查的基础上形成。环境风险评估过程中对企业周边的环境风险受体进行了调查，对企业涉及的环境风险物质进行了筛选，根据风险物质数量与临界量比值（Q）、</w:t>
      </w:r>
      <w:r>
        <w:rPr>
          <w:rFonts w:hint="eastAsia" w:ascii="仿宋" w:hAnsi="仿宋" w:eastAsia="仿宋" w:cs="仿宋"/>
          <w:color w:val="auto"/>
          <w:kern w:val="0"/>
          <w:sz w:val="28"/>
          <w:szCs w:val="28"/>
          <w:lang w:val="en-US" w:eastAsia="zh-CN" w:bidi="ar-SA"/>
        </w:rPr>
        <w:t>环境风险控制水平（M）和企业周边环境风险受体类型（E）</w:t>
      </w:r>
      <w:r>
        <w:rPr>
          <w:rFonts w:hint="eastAsia" w:ascii="仿宋" w:hAnsi="仿宋" w:eastAsia="仿宋" w:cs="仿宋"/>
          <w:color w:val="auto"/>
          <w:kern w:val="2"/>
          <w:sz w:val="28"/>
          <w:szCs w:val="28"/>
          <w:lang w:val="en-US" w:eastAsia="zh-CN" w:bidi="ar-SA"/>
        </w:rPr>
        <w:t>的结果判定企业为一般环境风险等级。针对本企业可能发生的火灾、泄漏等突发环境事故，明确了相应的应急措施，查找了现有环境风险防控和应急措施的差距，给出了完善环境风险防控和应急措施的实施计划。调查了企业应急物质的配备情况，明确了应急组织机构的设置情况及职责。</w:t>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240" w:lineRule="auto"/>
        <w:ind w:firstLine="562" w:firstLineChars="200"/>
        <w:jc w:val="both"/>
        <w:textAlignment w:val="auto"/>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五、征求意见情况说明</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bookmarkStart w:id="4" w:name="_Toc12563"/>
      <w:r>
        <w:rPr>
          <w:rFonts w:hint="eastAsia" w:ascii="仿宋" w:hAnsi="仿宋" w:eastAsia="仿宋" w:cs="仿宋"/>
          <w:color w:val="auto"/>
          <w:kern w:val="2"/>
          <w:sz w:val="28"/>
          <w:szCs w:val="28"/>
          <w:lang w:val="en-US" w:eastAsia="zh-CN" w:bidi="ar-SA"/>
        </w:rPr>
        <w:t>《预案》编制初稿形成后，拟定了征求意见表，组织本站员工代表、应急救援成员代表召开了征求意见座谈会，讨论了预案的相关内容，听取了大家的意见，填写了征求意见表。另外加油站也向周边企业代表、较近环境敏感保护目标征询意见，向调查对象介绍了本加油站的基本情况和应急预案情况，调查对象填写了征求意见表。</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征求意见表向本站员工可能受环境影响的单位代表公司所在地现状的主要环境风险、公众认为本项目的环境风险及应采取的应急措施、公众对本站的风险防范及应急措施的态度等方面的意见。征求意见表发放20份，回收20份，样表见附件。</w:t>
      </w:r>
    </w:p>
    <w:p>
      <w:pPr>
        <w:pStyle w:val="6"/>
        <w:snapToGrid w:val="0"/>
        <w:spacing w:line="360" w:lineRule="auto"/>
        <w:ind w:firstLine="560" w:firstLineChars="200"/>
        <w:rPr>
          <w:rFonts w:hint="eastAsia" w:ascii="Times New Roman" w:hAnsi="Times New Roman" w:eastAsia="仿宋"/>
          <w:sz w:val="28"/>
          <w:szCs w:val="28"/>
          <w:lang w:eastAsia="zh-CN"/>
        </w:rPr>
      </w:pPr>
      <w:r>
        <w:rPr>
          <w:rFonts w:hint="eastAsia" w:ascii="Times New Roman" w:hAnsi="Times New Roman" w:eastAsia="仿宋"/>
          <w:sz w:val="28"/>
          <w:szCs w:val="28"/>
        </w:rPr>
        <w:t>调查对象统计情况如下</w:t>
      </w:r>
      <w:r>
        <w:rPr>
          <w:rFonts w:hint="eastAsia" w:ascii="Times New Roman" w:hAnsi="Times New Roman" w:eastAsia="仿宋"/>
          <w:sz w:val="28"/>
          <w:szCs w:val="28"/>
          <w:lang w:eastAsia="zh-CN"/>
        </w:rPr>
        <w:t>表所示。</w:t>
      </w:r>
    </w:p>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8"/>
          <w:szCs w:val="28"/>
        </w:rPr>
      </w:pPr>
      <w:r>
        <w:rPr>
          <w:rFonts w:hint="eastAsia" w:ascii="Times New Roman" w:hAnsi="Times New Roman" w:eastAsia="仿宋"/>
          <w:sz w:val="28"/>
          <w:szCs w:val="28"/>
        </w:rPr>
        <w:t>表1</w:t>
      </w:r>
      <w:r>
        <w:rPr>
          <w:rFonts w:ascii="Times New Roman" w:hAnsi="Times New Roman" w:eastAsia="仿宋"/>
          <w:sz w:val="28"/>
          <w:szCs w:val="28"/>
        </w:rPr>
        <w:t xml:space="preserve">  </w:t>
      </w:r>
      <w:r>
        <w:rPr>
          <w:rFonts w:hint="eastAsia" w:ascii="Times New Roman" w:hAnsi="Times New Roman" w:eastAsia="仿宋"/>
          <w:sz w:val="28"/>
          <w:szCs w:val="28"/>
        </w:rPr>
        <w:t>征求意见调查对象情况统计表</w:t>
      </w:r>
    </w:p>
    <w:tbl>
      <w:tblPr>
        <w:tblStyle w:val="15"/>
        <w:tblW w:w="8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535"/>
        <w:gridCol w:w="517"/>
        <w:gridCol w:w="650"/>
        <w:gridCol w:w="883"/>
        <w:gridCol w:w="704"/>
        <w:gridCol w:w="722"/>
        <w:gridCol w:w="722"/>
        <w:gridCol w:w="722"/>
        <w:gridCol w:w="530"/>
        <w:gridCol w:w="783"/>
        <w:gridCol w:w="563"/>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9" w:type="dxa"/>
            <w:vMerge w:val="restart"/>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项目</w:t>
            </w:r>
          </w:p>
        </w:tc>
        <w:tc>
          <w:tcPr>
            <w:tcW w:w="1052" w:type="dxa"/>
            <w:gridSpan w:val="2"/>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性别</w:t>
            </w:r>
          </w:p>
        </w:tc>
        <w:tc>
          <w:tcPr>
            <w:tcW w:w="2237" w:type="dxa"/>
            <w:gridSpan w:val="3"/>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年龄</w:t>
            </w:r>
          </w:p>
        </w:tc>
        <w:tc>
          <w:tcPr>
            <w:tcW w:w="2166" w:type="dxa"/>
            <w:gridSpan w:val="3"/>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文化程度</w:t>
            </w:r>
          </w:p>
        </w:tc>
        <w:tc>
          <w:tcPr>
            <w:tcW w:w="2439" w:type="dxa"/>
            <w:gridSpan w:val="4"/>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9" w:type="dxa"/>
            <w:vMerge w:val="continue"/>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p>
        </w:tc>
        <w:tc>
          <w:tcPr>
            <w:tcW w:w="535"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男</w:t>
            </w:r>
          </w:p>
        </w:tc>
        <w:tc>
          <w:tcPr>
            <w:tcW w:w="517"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女</w:t>
            </w:r>
          </w:p>
        </w:tc>
        <w:tc>
          <w:tcPr>
            <w:tcW w:w="650"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lang w:val="en-US" w:eastAsia="zh-CN"/>
              </w:rPr>
              <w:t>&lt;</w:t>
            </w:r>
            <w:r>
              <w:rPr>
                <w:rFonts w:hint="eastAsia" w:ascii="Times New Roman" w:hAnsi="Times New Roman" w:eastAsia="仿宋"/>
                <w:sz w:val="24"/>
                <w:szCs w:val="24"/>
                <w:highlight w:val="none"/>
              </w:rPr>
              <w:t>3</w:t>
            </w:r>
            <w:r>
              <w:rPr>
                <w:rFonts w:ascii="Times New Roman" w:hAnsi="Times New Roman" w:eastAsia="仿宋"/>
                <w:sz w:val="24"/>
                <w:szCs w:val="24"/>
                <w:highlight w:val="none"/>
              </w:rPr>
              <w:t>0</w:t>
            </w:r>
          </w:p>
        </w:tc>
        <w:tc>
          <w:tcPr>
            <w:tcW w:w="883"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ascii="Times New Roman" w:hAnsi="Times New Roman" w:eastAsia="仿宋"/>
                <w:sz w:val="24"/>
                <w:szCs w:val="24"/>
                <w:highlight w:val="none"/>
              </w:rPr>
              <w:t>30</w:t>
            </w:r>
            <w:r>
              <w:rPr>
                <w:rFonts w:hint="eastAsia" w:ascii="Times New Roman" w:hAnsi="Times New Roman" w:eastAsia="仿宋"/>
                <w:sz w:val="24"/>
                <w:szCs w:val="24"/>
                <w:highlight w:val="none"/>
              </w:rPr>
              <w:t>~5</w:t>
            </w:r>
            <w:r>
              <w:rPr>
                <w:rFonts w:ascii="Times New Roman" w:hAnsi="Times New Roman" w:eastAsia="仿宋"/>
                <w:sz w:val="24"/>
                <w:szCs w:val="24"/>
                <w:highlight w:val="none"/>
              </w:rPr>
              <w:t>0</w:t>
            </w:r>
          </w:p>
        </w:tc>
        <w:tc>
          <w:tcPr>
            <w:tcW w:w="704"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ascii="Times New Roman" w:hAnsi="Times New Roman" w:eastAsia="仿宋"/>
                <w:sz w:val="24"/>
                <w:szCs w:val="24"/>
                <w:highlight w:val="none"/>
              </w:rPr>
              <w:t>&gt;50</w:t>
            </w:r>
          </w:p>
        </w:tc>
        <w:tc>
          <w:tcPr>
            <w:tcW w:w="722"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大专以下</w:t>
            </w:r>
          </w:p>
        </w:tc>
        <w:tc>
          <w:tcPr>
            <w:tcW w:w="722"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大本</w:t>
            </w:r>
          </w:p>
        </w:tc>
        <w:tc>
          <w:tcPr>
            <w:tcW w:w="722"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大本以上</w:t>
            </w:r>
          </w:p>
        </w:tc>
        <w:tc>
          <w:tcPr>
            <w:tcW w:w="530"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干部</w:t>
            </w:r>
          </w:p>
        </w:tc>
        <w:tc>
          <w:tcPr>
            <w:tcW w:w="783"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公司职员</w:t>
            </w:r>
          </w:p>
        </w:tc>
        <w:tc>
          <w:tcPr>
            <w:tcW w:w="563"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教师</w:t>
            </w:r>
          </w:p>
        </w:tc>
        <w:tc>
          <w:tcPr>
            <w:tcW w:w="563"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9"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数量</w:t>
            </w:r>
          </w:p>
        </w:tc>
        <w:tc>
          <w:tcPr>
            <w:tcW w:w="53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16</w:t>
            </w:r>
          </w:p>
        </w:tc>
        <w:tc>
          <w:tcPr>
            <w:tcW w:w="51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4</w:t>
            </w:r>
          </w:p>
        </w:tc>
        <w:tc>
          <w:tcPr>
            <w:tcW w:w="650"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eastAsia="zh-CN"/>
              </w:rPr>
            </w:pPr>
            <w:r>
              <w:rPr>
                <w:rFonts w:hint="eastAsia" w:eastAsia="仿宋" w:cs="Times New Roman"/>
                <w:i w:val="0"/>
                <w:color w:val="000000"/>
                <w:kern w:val="0"/>
                <w:sz w:val="24"/>
                <w:szCs w:val="24"/>
                <w:u w:val="none"/>
                <w:lang w:val="en-US" w:eastAsia="zh-CN" w:bidi="ar"/>
              </w:rPr>
              <w:t>7</w:t>
            </w:r>
          </w:p>
        </w:tc>
        <w:tc>
          <w:tcPr>
            <w:tcW w:w="88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13</w:t>
            </w:r>
          </w:p>
        </w:tc>
        <w:tc>
          <w:tcPr>
            <w:tcW w:w="70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eastAsia="zh-CN"/>
              </w:rPr>
            </w:pPr>
            <w:r>
              <w:rPr>
                <w:rFonts w:hint="eastAsia" w:eastAsia="仿宋" w:cs="Times New Roman"/>
                <w:i w:val="0"/>
                <w:color w:val="000000"/>
                <w:kern w:val="0"/>
                <w:sz w:val="24"/>
                <w:szCs w:val="24"/>
                <w:u w:val="none"/>
                <w:lang w:val="en-US" w:eastAsia="zh-CN" w:bidi="ar"/>
              </w:rPr>
              <w:t>0</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16</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eastAsia="zh-CN"/>
              </w:rPr>
            </w:pPr>
            <w:r>
              <w:rPr>
                <w:rFonts w:hint="eastAsia" w:eastAsia="仿宋" w:cs="Times New Roman"/>
                <w:i w:val="0"/>
                <w:color w:val="000000"/>
                <w:kern w:val="0"/>
                <w:sz w:val="24"/>
                <w:szCs w:val="24"/>
                <w:u w:val="none"/>
                <w:lang w:val="en-US" w:eastAsia="zh-CN" w:bidi="ar"/>
              </w:rPr>
              <w:t>3</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rPr>
            </w:pPr>
            <w:r>
              <w:rPr>
                <w:rFonts w:hint="eastAsia" w:cs="Times New Roman"/>
                <w:i w:val="0"/>
                <w:color w:val="000000"/>
                <w:kern w:val="0"/>
                <w:sz w:val="24"/>
                <w:szCs w:val="24"/>
                <w:u w:val="none"/>
                <w:lang w:val="en-US" w:eastAsia="zh-CN" w:bidi="ar"/>
              </w:rPr>
              <w:t>1</w:t>
            </w:r>
          </w:p>
        </w:tc>
        <w:tc>
          <w:tcPr>
            <w:tcW w:w="530"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rPr>
            </w:pPr>
            <w:r>
              <w:rPr>
                <w:rFonts w:hint="eastAsia" w:cs="Times New Roman"/>
                <w:i w:val="0"/>
                <w:color w:val="000000"/>
                <w:kern w:val="0"/>
                <w:sz w:val="24"/>
                <w:szCs w:val="24"/>
                <w:u w:val="none"/>
                <w:lang w:val="en-US" w:eastAsia="zh-CN" w:bidi="ar"/>
              </w:rPr>
              <w:t>0</w:t>
            </w:r>
          </w:p>
        </w:tc>
        <w:tc>
          <w:tcPr>
            <w:tcW w:w="78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eastAsia="zh-CN"/>
              </w:rPr>
            </w:pPr>
            <w:r>
              <w:rPr>
                <w:rFonts w:hint="eastAsia" w:eastAsia="仿宋" w:cs="Times New Roman"/>
                <w:i w:val="0"/>
                <w:color w:val="000000"/>
                <w:kern w:val="0"/>
                <w:sz w:val="24"/>
                <w:szCs w:val="24"/>
                <w:u w:val="none"/>
                <w:lang w:val="en-US" w:eastAsia="zh-CN" w:bidi="ar"/>
              </w:rPr>
              <w:t>3</w:t>
            </w:r>
          </w:p>
        </w:tc>
        <w:tc>
          <w:tcPr>
            <w:tcW w:w="56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rPr>
            </w:pPr>
            <w:r>
              <w:rPr>
                <w:rFonts w:hint="eastAsia" w:cs="Times New Roman"/>
                <w:i w:val="0"/>
                <w:color w:val="000000"/>
                <w:kern w:val="0"/>
                <w:sz w:val="24"/>
                <w:szCs w:val="24"/>
                <w:u w:val="none"/>
                <w:lang w:val="en-US" w:eastAsia="zh-CN" w:bidi="ar"/>
              </w:rPr>
              <w:t>0</w:t>
            </w:r>
          </w:p>
        </w:tc>
        <w:tc>
          <w:tcPr>
            <w:tcW w:w="56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89" w:type="dxa"/>
            <w:vAlign w:val="center"/>
          </w:tcPr>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4"/>
                <w:szCs w:val="24"/>
                <w:highlight w:val="none"/>
              </w:rPr>
            </w:pPr>
            <w:r>
              <w:rPr>
                <w:rFonts w:hint="eastAsia" w:ascii="Times New Roman" w:hAnsi="Times New Roman" w:eastAsia="仿宋"/>
                <w:sz w:val="24"/>
                <w:szCs w:val="24"/>
                <w:highlight w:val="none"/>
              </w:rPr>
              <w:t>比例％</w:t>
            </w:r>
          </w:p>
        </w:tc>
        <w:tc>
          <w:tcPr>
            <w:tcW w:w="535"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80</w:t>
            </w:r>
          </w:p>
        </w:tc>
        <w:tc>
          <w:tcPr>
            <w:tcW w:w="517"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20</w:t>
            </w:r>
          </w:p>
        </w:tc>
        <w:tc>
          <w:tcPr>
            <w:tcW w:w="650"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35</w:t>
            </w:r>
          </w:p>
        </w:tc>
        <w:tc>
          <w:tcPr>
            <w:tcW w:w="88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65</w:t>
            </w:r>
          </w:p>
        </w:tc>
        <w:tc>
          <w:tcPr>
            <w:tcW w:w="704"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0</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80</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15</w:t>
            </w:r>
          </w:p>
        </w:tc>
        <w:tc>
          <w:tcPr>
            <w:tcW w:w="722"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rPr>
            </w:pPr>
            <w:r>
              <w:rPr>
                <w:rFonts w:hint="eastAsia" w:eastAsia="仿宋" w:cs="Times New Roman"/>
                <w:i w:val="0"/>
                <w:color w:val="000000"/>
                <w:kern w:val="0"/>
                <w:sz w:val="24"/>
                <w:szCs w:val="24"/>
                <w:u w:val="none"/>
                <w:lang w:val="en-US" w:eastAsia="zh-CN" w:bidi="ar"/>
              </w:rPr>
              <w:t>5</w:t>
            </w:r>
          </w:p>
        </w:tc>
        <w:tc>
          <w:tcPr>
            <w:tcW w:w="530"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rPr>
            </w:pPr>
            <w:r>
              <w:rPr>
                <w:rFonts w:hint="eastAsia" w:eastAsia="仿宋" w:cs="Times New Roman"/>
                <w:i w:val="0"/>
                <w:color w:val="000000"/>
                <w:kern w:val="0"/>
                <w:sz w:val="24"/>
                <w:szCs w:val="24"/>
                <w:u w:val="none"/>
                <w:lang w:val="en-US" w:eastAsia="zh-CN" w:bidi="ar"/>
              </w:rPr>
              <w:t>0</w:t>
            </w:r>
          </w:p>
        </w:tc>
        <w:tc>
          <w:tcPr>
            <w:tcW w:w="78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15</w:t>
            </w:r>
          </w:p>
        </w:tc>
        <w:tc>
          <w:tcPr>
            <w:tcW w:w="56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rPr>
            </w:pPr>
            <w:r>
              <w:rPr>
                <w:rFonts w:hint="eastAsia" w:eastAsia="仿宋" w:cs="Times New Roman"/>
                <w:i w:val="0"/>
                <w:color w:val="000000"/>
                <w:kern w:val="0"/>
                <w:sz w:val="24"/>
                <w:szCs w:val="24"/>
                <w:u w:val="none"/>
                <w:lang w:val="en-US" w:eastAsia="zh-CN" w:bidi="ar"/>
              </w:rPr>
              <w:t>0</w:t>
            </w:r>
          </w:p>
        </w:tc>
        <w:tc>
          <w:tcPr>
            <w:tcW w:w="563" w:type="dxa"/>
            <w:vAlign w:val="center"/>
          </w:tcPr>
          <w:p>
            <w:pPr>
              <w:keepNext w:val="0"/>
              <w:keepLines w:val="0"/>
              <w:widowControl/>
              <w:suppressLineNumbers w:val="0"/>
              <w:jc w:val="center"/>
              <w:textAlignment w:val="center"/>
              <w:rPr>
                <w:rFonts w:hint="default" w:ascii="Times New Roman" w:hAnsi="Times New Roman" w:eastAsia="仿宋" w:cs="Times New Roman"/>
                <w:sz w:val="24"/>
                <w:szCs w:val="24"/>
                <w:highlight w:val="none"/>
                <w:lang w:val="en-US" w:eastAsia="zh-CN"/>
              </w:rPr>
            </w:pPr>
            <w:r>
              <w:rPr>
                <w:rFonts w:hint="eastAsia" w:eastAsia="仿宋" w:cs="Times New Roman"/>
                <w:i w:val="0"/>
                <w:color w:val="000000"/>
                <w:kern w:val="0"/>
                <w:sz w:val="24"/>
                <w:szCs w:val="24"/>
                <w:u w:val="none"/>
                <w:lang w:val="en-US" w:eastAsia="zh-CN" w:bidi="ar"/>
              </w:rPr>
              <w:t>85</w:t>
            </w:r>
          </w:p>
        </w:tc>
      </w:tr>
    </w:tbl>
    <w:p>
      <w:pPr>
        <w:pStyle w:val="6"/>
        <w:snapToGrid w:val="0"/>
        <w:spacing w:line="360" w:lineRule="auto"/>
        <w:ind w:firstLine="560" w:firstLineChars="200"/>
        <w:rPr>
          <w:rFonts w:ascii="Times New Roman" w:hAnsi="Times New Roman" w:eastAsia="仿宋"/>
          <w:sz w:val="28"/>
          <w:szCs w:val="28"/>
        </w:rPr>
      </w:pPr>
      <w:r>
        <w:rPr>
          <w:rFonts w:hint="eastAsia" w:ascii="Times New Roman" w:hAnsi="Times New Roman" w:eastAsia="仿宋"/>
          <w:sz w:val="28"/>
          <w:szCs w:val="28"/>
        </w:rPr>
        <w:t>意见征求表统计结果如下</w:t>
      </w:r>
      <w:r>
        <w:rPr>
          <w:rFonts w:hint="eastAsia" w:ascii="Times New Roman" w:hAnsi="Times New Roman" w:eastAsia="仿宋"/>
          <w:sz w:val="28"/>
          <w:szCs w:val="28"/>
          <w:lang w:eastAsia="zh-CN"/>
        </w:rPr>
        <w:t>表</w:t>
      </w:r>
      <w:r>
        <w:rPr>
          <w:rFonts w:hint="eastAsia" w:ascii="Times New Roman" w:hAnsi="Times New Roman" w:eastAsia="仿宋"/>
          <w:sz w:val="28"/>
          <w:szCs w:val="28"/>
        </w:rPr>
        <w:t>所示。</w:t>
      </w:r>
    </w:p>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8"/>
          <w:szCs w:val="28"/>
          <w:highlight w:val="none"/>
        </w:rPr>
      </w:pPr>
      <w:r>
        <w:rPr>
          <w:rFonts w:hint="eastAsia" w:ascii="Times New Roman" w:hAnsi="Times New Roman" w:eastAsia="仿宋"/>
          <w:sz w:val="28"/>
          <w:szCs w:val="28"/>
          <w:highlight w:val="none"/>
        </w:rPr>
        <w:t>表2</w:t>
      </w:r>
      <w:r>
        <w:rPr>
          <w:rFonts w:ascii="Times New Roman" w:hAnsi="Times New Roman" w:eastAsia="仿宋"/>
          <w:sz w:val="28"/>
          <w:szCs w:val="28"/>
          <w:highlight w:val="none"/>
        </w:rPr>
        <w:t xml:space="preserve">  </w:t>
      </w:r>
      <w:r>
        <w:rPr>
          <w:rFonts w:hint="eastAsia" w:ascii="Times New Roman" w:hAnsi="Times New Roman" w:eastAsia="仿宋"/>
          <w:sz w:val="28"/>
          <w:szCs w:val="28"/>
          <w:highlight w:val="none"/>
        </w:rPr>
        <w:t xml:space="preserve">征求意见调查结果 </w:t>
      </w:r>
      <w:r>
        <w:rPr>
          <w:rFonts w:ascii="Times New Roman" w:hAnsi="Times New Roman" w:eastAsia="仿宋"/>
          <w:sz w:val="28"/>
          <w:szCs w:val="28"/>
          <w:highlight w:val="none"/>
        </w:rPr>
        <w:t xml:space="preserve"> </w:t>
      </w:r>
      <w:r>
        <w:rPr>
          <w:rFonts w:hint="eastAsia" w:ascii="Times New Roman" w:hAnsi="Times New Roman" w:eastAsia="仿宋"/>
          <w:sz w:val="28"/>
          <w:szCs w:val="28"/>
          <w:highlight w:val="none"/>
        </w:rPr>
        <w:t>（％）</w:t>
      </w:r>
    </w:p>
    <w:tbl>
      <w:tblPr>
        <w:tblStyle w:val="15"/>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487"/>
        <w:gridCol w:w="1216"/>
        <w:gridCol w:w="1300"/>
        <w:gridCol w:w="1236"/>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1</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sz w:val="24"/>
                <w:szCs w:val="24"/>
                <w:highlight w:val="none"/>
              </w:rPr>
              <w:t>您认为公司所在地区现状的主要环境风险是</w:t>
            </w:r>
          </w:p>
        </w:tc>
        <w:tc>
          <w:tcPr>
            <w:tcW w:w="1216"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大气污染</w:t>
            </w:r>
          </w:p>
        </w:tc>
        <w:tc>
          <w:tcPr>
            <w:tcW w:w="1300"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水污染</w:t>
            </w:r>
          </w:p>
        </w:tc>
        <w:tc>
          <w:tcPr>
            <w:tcW w:w="1236"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土壤污染</w:t>
            </w:r>
          </w:p>
        </w:tc>
        <w:tc>
          <w:tcPr>
            <w:tcW w:w="940"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left"/>
              <w:rPr>
                <w:rFonts w:ascii="Times New Roman" w:hAnsi="Times New Roman" w:eastAsia="仿宋"/>
                <w:sz w:val="24"/>
                <w:szCs w:val="24"/>
                <w:highlight w:val="none"/>
              </w:rPr>
            </w:pPr>
          </w:p>
        </w:tc>
        <w:tc>
          <w:tcPr>
            <w:tcW w:w="121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90</w:t>
            </w:r>
          </w:p>
        </w:tc>
        <w:tc>
          <w:tcPr>
            <w:tcW w:w="130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10</w:t>
            </w:r>
          </w:p>
        </w:tc>
        <w:tc>
          <w:tcPr>
            <w:tcW w:w="1236"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94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2</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sz w:val="24"/>
                <w:szCs w:val="24"/>
                <w:highlight w:val="none"/>
              </w:rPr>
              <w:t>通过介绍，您对本公司环境风险的了解程度</w:t>
            </w:r>
          </w:p>
        </w:tc>
        <w:tc>
          <w:tcPr>
            <w:tcW w:w="1216"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很清楚</w:t>
            </w:r>
          </w:p>
        </w:tc>
        <w:tc>
          <w:tcPr>
            <w:tcW w:w="1300"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了解</w:t>
            </w:r>
          </w:p>
        </w:tc>
        <w:tc>
          <w:tcPr>
            <w:tcW w:w="1236"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听说过</w:t>
            </w:r>
          </w:p>
        </w:tc>
        <w:tc>
          <w:tcPr>
            <w:tcW w:w="940"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hint="eastAsia" w:ascii="Times New Roman" w:hAnsi="Times New Roman" w:eastAsia="仿宋"/>
                <w:sz w:val="24"/>
                <w:szCs w:val="24"/>
                <w:highlight w:val="none"/>
                <w:lang w:val="en-US" w:eastAsia="zh-CN"/>
              </w:rPr>
            </w:pPr>
          </w:p>
        </w:tc>
        <w:tc>
          <w:tcPr>
            <w:tcW w:w="3487" w:type="dxa"/>
            <w:vMerge w:val="continue"/>
            <w:vAlign w:val="center"/>
          </w:tcPr>
          <w:p>
            <w:pPr>
              <w:pStyle w:val="6"/>
              <w:snapToGrid w:val="0"/>
              <w:jc w:val="center"/>
              <w:rPr>
                <w:rFonts w:hint="eastAsia" w:ascii="Times New Roman" w:hAnsi="Times New Roman" w:eastAsia="仿宋"/>
                <w:sz w:val="24"/>
                <w:szCs w:val="24"/>
                <w:highlight w:val="none"/>
                <w:lang w:val="en-US" w:eastAsia="zh-CN"/>
              </w:rPr>
            </w:pPr>
          </w:p>
        </w:tc>
        <w:tc>
          <w:tcPr>
            <w:tcW w:w="121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15</w:t>
            </w:r>
          </w:p>
        </w:tc>
        <w:tc>
          <w:tcPr>
            <w:tcW w:w="130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85</w:t>
            </w:r>
          </w:p>
        </w:tc>
        <w:tc>
          <w:tcPr>
            <w:tcW w:w="123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94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3</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cs="仿宋"/>
                <w:sz w:val="24"/>
                <w:szCs w:val="24"/>
                <w:highlight w:val="none"/>
              </w:rPr>
              <w:t>您认为本项目对周围环境影响程度</w:t>
            </w:r>
          </w:p>
        </w:tc>
        <w:tc>
          <w:tcPr>
            <w:tcW w:w="121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很大</w:t>
            </w:r>
          </w:p>
        </w:tc>
        <w:tc>
          <w:tcPr>
            <w:tcW w:w="130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较小</w:t>
            </w:r>
          </w:p>
        </w:tc>
        <w:tc>
          <w:tcPr>
            <w:tcW w:w="123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很小</w:t>
            </w:r>
          </w:p>
        </w:tc>
        <w:tc>
          <w:tcPr>
            <w:tcW w:w="940"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left"/>
              <w:rPr>
                <w:rFonts w:ascii="Times New Roman" w:hAnsi="Times New Roman" w:eastAsia="仿宋"/>
                <w:sz w:val="24"/>
                <w:szCs w:val="24"/>
                <w:highlight w:val="none"/>
              </w:rPr>
            </w:pPr>
          </w:p>
        </w:tc>
        <w:tc>
          <w:tcPr>
            <w:tcW w:w="1216"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1300" w:type="dxa"/>
            <w:vAlign w:val="center"/>
          </w:tcPr>
          <w:p>
            <w:pPr>
              <w:keepNext w:val="0"/>
              <w:keepLines w:val="0"/>
              <w:widowControl/>
              <w:suppressLineNumbers w:val="0"/>
              <w:jc w:val="center"/>
              <w:textAlignment w:val="center"/>
              <w:rPr>
                <w:rFonts w:hint="default" w:ascii="Times New Roman" w:hAnsi="Times New Roman" w:eastAsia="仿宋" w:cs="Times New Roman"/>
                <w:kern w:val="2"/>
                <w:sz w:val="24"/>
                <w:szCs w:val="24"/>
                <w:highlight w:val="none"/>
                <w:lang w:val="en-US" w:eastAsia="zh-CN" w:bidi="ar-SA"/>
              </w:rPr>
            </w:pPr>
            <w:r>
              <w:rPr>
                <w:rFonts w:hint="eastAsia" w:eastAsia="仿宋" w:cs="Times New Roman"/>
                <w:kern w:val="2"/>
                <w:sz w:val="24"/>
                <w:szCs w:val="24"/>
                <w:highlight w:val="none"/>
                <w:lang w:val="en-US" w:eastAsia="zh-CN" w:bidi="ar-SA"/>
              </w:rPr>
              <w:t>75</w:t>
            </w:r>
          </w:p>
        </w:tc>
        <w:tc>
          <w:tcPr>
            <w:tcW w:w="1236" w:type="dxa"/>
            <w:vAlign w:val="center"/>
          </w:tcPr>
          <w:p>
            <w:pPr>
              <w:keepNext w:val="0"/>
              <w:keepLines w:val="0"/>
              <w:widowControl/>
              <w:suppressLineNumbers w:val="0"/>
              <w:jc w:val="center"/>
              <w:textAlignment w:val="center"/>
              <w:rPr>
                <w:rFonts w:hint="default" w:ascii="Times New Roman" w:hAnsi="Times New Roman" w:eastAsia="仿宋" w:cs="Times New Roman"/>
                <w:kern w:val="2"/>
                <w:sz w:val="24"/>
                <w:szCs w:val="24"/>
                <w:highlight w:val="none"/>
                <w:lang w:val="en-US" w:eastAsia="zh-CN" w:bidi="ar-SA"/>
              </w:rPr>
            </w:pPr>
            <w:r>
              <w:rPr>
                <w:rFonts w:hint="eastAsia" w:eastAsia="仿宋" w:cs="Times New Roman"/>
                <w:kern w:val="2"/>
                <w:sz w:val="24"/>
                <w:szCs w:val="24"/>
                <w:highlight w:val="none"/>
                <w:lang w:val="en-US" w:eastAsia="zh-CN" w:bidi="ar-SA"/>
              </w:rPr>
              <w:t>25</w:t>
            </w:r>
          </w:p>
        </w:tc>
        <w:tc>
          <w:tcPr>
            <w:tcW w:w="940" w:type="dxa"/>
            <w:vAlign w:val="center"/>
          </w:tcPr>
          <w:p>
            <w:pPr>
              <w:keepNext w:val="0"/>
              <w:keepLines w:val="0"/>
              <w:widowControl/>
              <w:suppressLineNumbers w:val="0"/>
              <w:jc w:val="center"/>
              <w:textAlignment w:val="center"/>
              <w:rPr>
                <w:rFonts w:hint="default" w:ascii="Times New Roman" w:hAnsi="Times New Roman" w:eastAsia="仿宋" w:cs="Times New Roman"/>
                <w:kern w:val="2"/>
                <w:sz w:val="24"/>
                <w:szCs w:val="24"/>
                <w:highlight w:val="none"/>
                <w:lang w:val="en-US" w:eastAsia="zh-CN" w:bidi="ar-SA"/>
              </w:rPr>
            </w:pPr>
            <w:r>
              <w:rPr>
                <w:rFonts w:hint="eastAsia" w:eastAsia="仿宋" w:cs="Times New Roman"/>
                <w:kern w:val="2"/>
                <w:sz w:val="24"/>
                <w:szCs w:val="24"/>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4</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cs="仿宋"/>
                <w:sz w:val="24"/>
                <w:szCs w:val="24"/>
                <w:highlight w:val="none"/>
              </w:rPr>
              <w:t>您认为本项目造成的主要环境风险是</w:t>
            </w:r>
          </w:p>
        </w:tc>
        <w:tc>
          <w:tcPr>
            <w:tcW w:w="121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大气污染</w:t>
            </w:r>
          </w:p>
        </w:tc>
        <w:tc>
          <w:tcPr>
            <w:tcW w:w="130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水污染</w:t>
            </w:r>
          </w:p>
        </w:tc>
        <w:tc>
          <w:tcPr>
            <w:tcW w:w="123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土壤污染</w:t>
            </w:r>
          </w:p>
        </w:tc>
        <w:tc>
          <w:tcPr>
            <w:tcW w:w="94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left"/>
              <w:rPr>
                <w:rFonts w:ascii="Times New Roman" w:hAnsi="Times New Roman" w:eastAsia="仿宋"/>
                <w:sz w:val="24"/>
                <w:szCs w:val="24"/>
                <w:highlight w:val="none"/>
              </w:rPr>
            </w:pPr>
          </w:p>
        </w:tc>
        <w:tc>
          <w:tcPr>
            <w:tcW w:w="121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85</w:t>
            </w:r>
          </w:p>
        </w:tc>
        <w:tc>
          <w:tcPr>
            <w:tcW w:w="130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15</w:t>
            </w:r>
          </w:p>
        </w:tc>
        <w:tc>
          <w:tcPr>
            <w:tcW w:w="1236"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94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5</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cs="仿宋"/>
                <w:sz w:val="24"/>
                <w:szCs w:val="24"/>
                <w:highlight w:val="none"/>
              </w:rPr>
              <w:t>您认为</w:t>
            </w:r>
            <w:r>
              <w:rPr>
                <w:rFonts w:hint="eastAsia" w:ascii="Times New Roman" w:hAnsi="Times New Roman" w:eastAsia="仿宋" w:cs="仿宋"/>
                <w:sz w:val="24"/>
                <w:szCs w:val="24"/>
                <w:highlight w:val="none"/>
                <w:lang w:eastAsia="zh-CN"/>
              </w:rPr>
              <w:t>采取哪些措施可减轻环境风险</w:t>
            </w:r>
          </w:p>
        </w:tc>
        <w:tc>
          <w:tcPr>
            <w:tcW w:w="121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加强日常管理</w:t>
            </w:r>
          </w:p>
        </w:tc>
        <w:tc>
          <w:tcPr>
            <w:tcW w:w="130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购买应急措施</w:t>
            </w:r>
          </w:p>
        </w:tc>
        <w:tc>
          <w:tcPr>
            <w:tcW w:w="123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加强日常风险排查</w:t>
            </w:r>
          </w:p>
        </w:tc>
        <w:tc>
          <w:tcPr>
            <w:tcW w:w="94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left"/>
              <w:rPr>
                <w:rFonts w:ascii="Times New Roman" w:hAnsi="Times New Roman" w:eastAsia="仿宋"/>
                <w:sz w:val="24"/>
                <w:szCs w:val="24"/>
                <w:highlight w:val="none"/>
              </w:rPr>
            </w:pPr>
          </w:p>
        </w:tc>
        <w:tc>
          <w:tcPr>
            <w:tcW w:w="1216" w:type="dxa"/>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lang w:val="en-US" w:eastAsia="zh-CN"/>
              </w:rPr>
              <w:t>7</w:t>
            </w:r>
            <w:r>
              <w:rPr>
                <w:rFonts w:ascii="Times New Roman" w:hAnsi="Times New Roman" w:eastAsia="仿宋"/>
                <w:sz w:val="24"/>
                <w:szCs w:val="24"/>
                <w:highlight w:val="none"/>
              </w:rPr>
              <w:t>0</w:t>
            </w:r>
          </w:p>
        </w:tc>
        <w:tc>
          <w:tcPr>
            <w:tcW w:w="1300"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123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30</w:t>
            </w:r>
          </w:p>
        </w:tc>
        <w:tc>
          <w:tcPr>
            <w:tcW w:w="940"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6</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cs="仿宋"/>
                <w:sz w:val="24"/>
                <w:szCs w:val="24"/>
                <w:highlight w:val="none"/>
                <w:lang w:eastAsia="zh-CN"/>
              </w:rPr>
              <w:t>本公司的存在对您的生活有哪些方面的影响</w:t>
            </w:r>
          </w:p>
        </w:tc>
        <w:tc>
          <w:tcPr>
            <w:tcW w:w="121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工作</w:t>
            </w:r>
          </w:p>
        </w:tc>
        <w:tc>
          <w:tcPr>
            <w:tcW w:w="130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休息</w:t>
            </w:r>
          </w:p>
        </w:tc>
        <w:tc>
          <w:tcPr>
            <w:tcW w:w="123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无影响</w:t>
            </w:r>
          </w:p>
        </w:tc>
        <w:tc>
          <w:tcPr>
            <w:tcW w:w="94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left"/>
              <w:rPr>
                <w:rFonts w:ascii="Times New Roman" w:hAnsi="Times New Roman" w:eastAsia="仿宋"/>
                <w:sz w:val="24"/>
                <w:szCs w:val="24"/>
                <w:highlight w:val="none"/>
              </w:rPr>
            </w:pPr>
          </w:p>
        </w:tc>
        <w:tc>
          <w:tcPr>
            <w:tcW w:w="1216"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130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123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100</w:t>
            </w:r>
          </w:p>
        </w:tc>
        <w:tc>
          <w:tcPr>
            <w:tcW w:w="940"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restart"/>
            <w:vAlign w:val="center"/>
          </w:tcPr>
          <w:p>
            <w:pPr>
              <w:pStyle w:val="6"/>
              <w:snapToGrid w:val="0"/>
              <w:jc w:val="center"/>
              <w:rPr>
                <w:rFonts w:ascii="Times New Roman" w:hAnsi="Times New Roman" w:eastAsia="仿宋"/>
                <w:sz w:val="24"/>
                <w:szCs w:val="24"/>
                <w:highlight w:val="none"/>
              </w:rPr>
            </w:pPr>
            <w:r>
              <w:rPr>
                <w:rFonts w:hint="eastAsia" w:ascii="Times New Roman" w:hAnsi="Times New Roman" w:eastAsia="仿宋"/>
                <w:sz w:val="24"/>
                <w:szCs w:val="24"/>
                <w:highlight w:val="none"/>
              </w:rPr>
              <w:t>7</w:t>
            </w:r>
          </w:p>
        </w:tc>
        <w:tc>
          <w:tcPr>
            <w:tcW w:w="3487" w:type="dxa"/>
            <w:vMerge w:val="restart"/>
            <w:vAlign w:val="center"/>
          </w:tcPr>
          <w:p>
            <w:pPr>
              <w:pStyle w:val="6"/>
              <w:snapToGrid w:val="0"/>
              <w:jc w:val="left"/>
              <w:rPr>
                <w:rFonts w:ascii="Times New Roman" w:hAnsi="Times New Roman" w:eastAsia="仿宋"/>
                <w:sz w:val="24"/>
                <w:szCs w:val="24"/>
                <w:highlight w:val="none"/>
              </w:rPr>
            </w:pPr>
            <w:r>
              <w:rPr>
                <w:rFonts w:hint="eastAsia" w:ascii="Times New Roman" w:hAnsi="Times New Roman" w:eastAsia="仿宋" w:cs="仿宋"/>
                <w:sz w:val="24"/>
                <w:szCs w:val="24"/>
                <w:highlight w:val="none"/>
              </w:rPr>
              <w:t>您对本公司的风险防控及应急措施的态度</w:t>
            </w:r>
          </w:p>
        </w:tc>
        <w:tc>
          <w:tcPr>
            <w:tcW w:w="121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满意</w:t>
            </w:r>
          </w:p>
        </w:tc>
        <w:tc>
          <w:tcPr>
            <w:tcW w:w="130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需要改进</w:t>
            </w:r>
          </w:p>
        </w:tc>
        <w:tc>
          <w:tcPr>
            <w:tcW w:w="1236"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不满意</w:t>
            </w:r>
          </w:p>
        </w:tc>
        <w:tc>
          <w:tcPr>
            <w:tcW w:w="940" w:type="dxa"/>
            <w:vAlign w:val="center"/>
          </w:tcPr>
          <w:p>
            <w:pPr>
              <w:pStyle w:val="6"/>
              <w:snapToGrid w:val="0"/>
              <w:jc w:val="center"/>
              <w:rPr>
                <w:rFonts w:hint="eastAsia" w:ascii="Times New Roman" w:hAnsi="Times New Roman" w:eastAsia="仿宋"/>
                <w:sz w:val="24"/>
                <w:szCs w:val="24"/>
                <w:highlight w:val="none"/>
                <w:lang w:eastAsia="zh-CN"/>
              </w:rPr>
            </w:pPr>
            <w:r>
              <w:rPr>
                <w:rFonts w:hint="eastAsia" w:ascii="Times New Roman" w:hAnsi="Times New Roman" w:eastAsia="仿宋"/>
                <w:sz w:val="24"/>
                <w:szCs w:val="24"/>
                <w:highlight w:val="none"/>
                <w:lang w:eastAsia="zh-CN"/>
              </w:rPr>
              <w:t>不关心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Merge w:val="continue"/>
            <w:vAlign w:val="center"/>
          </w:tcPr>
          <w:p>
            <w:pPr>
              <w:pStyle w:val="6"/>
              <w:snapToGrid w:val="0"/>
              <w:jc w:val="center"/>
              <w:rPr>
                <w:rFonts w:ascii="Times New Roman" w:hAnsi="Times New Roman" w:eastAsia="仿宋"/>
                <w:sz w:val="24"/>
                <w:szCs w:val="24"/>
                <w:highlight w:val="none"/>
              </w:rPr>
            </w:pPr>
          </w:p>
        </w:tc>
        <w:tc>
          <w:tcPr>
            <w:tcW w:w="3487" w:type="dxa"/>
            <w:vMerge w:val="continue"/>
            <w:vAlign w:val="center"/>
          </w:tcPr>
          <w:p>
            <w:pPr>
              <w:pStyle w:val="6"/>
              <w:snapToGrid w:val="0"/>
              <w:jc w:val="center"/>
              <w:rPr>
                <w:rFonts w:ascii="Times New Roman" w:hAnsi="Times New Roman" w:eastAsia="仿宋"/>
                <w:sz w:val="24"/>
                <w:szCs w:val="24"/>
                <w:highlight w:val="none"/>
              </w:rPr>
            </w:pPr>
          </w:p>
        </w:tc>
        <w:tc>
          <w:tcPr>
            <w:tcW w:w="1216"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100</w:t>
            </w:r>
          </w:p>
        </w:tc>
        <w:tc>
          <w:tcPr>
            <w:tcW w:w="1300"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1236" w:type="dxa"/>
            <w:vAlign w:val="center"/>
          </w:tcPr>
          <w:p>
            <w:pPr>
              <w:pStyle w:val="6"/>
              <w:snapToGrid w:val="0"/>
              <w:jc w:val="center"/>
              <w:rPr>
                <w:rFonts w:hint="eastAsia"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c>
          <w:tcPr>
            <w:tcW w:w="940" w:type="dxa"/>
            <w:vAlign w:val="center"/>
          </w:tcPr>
          <w:p>
            <w:pPr>
              <w:pStyle w:val="6"/>
              <w:snapToGrid w:val="0"/>
              <w:jc w:val="center"/>
              <w:rPr>
                <w:rFonts w:hint="default" w:ascii="Times New Roman" w:hAnsi="Times New Roman" w:eastAsia="仿宋"/>
                <w:sz w:val="24"/>
                <w:szCs w:val="24"/>
                <w:highlight w:val="none"/>
                <w:lang w:val="en-US" w:eastAsia="zh-CN"/>
              </w:rPr>
            </w:pPr>
            <w:r>
              <w:rPr>
                <w:rFonts w:hint="eastAsia" w:ascii="Times New Roman" w:hAnsi="Times New Roman" w:eastAsia="仿宋"/>
                <w:sz w:val="24"/>
                <w:szCs w:val="24"/>
                <w:highlight w:val="none"/>
                <w:lang w:val="en-US" w:eastAsia="zh-CN"/>
              </w:rPr>
              <w:t>0</w:t>
            </w:r>
          </w:p>
        </w:tc>
      </w:tr>
    </w:tbl>
    <w:p>
      <w:pPr>
        <w:pStyle w:val="6"/>
        <w:snapToGrid w:val="0"/>
        <w:spacing w:line="360" w:lineRule="auto"/>
        <w:ind w:firstLine="560" w:firstLineChars="200"/>
        <w:rPr>
          <w:rFonts w:ascii="Times New Roman" w:hAnsi="Times New Roman" w:eastAsia="仿宋"/>
          <w:sz w:val="28"/>
          <w:szCs w:val="28"/>
        </w:rPr>
      </w:pPr>
      <w:r>
        <w:rPr>
          <w:rFonts w:ascii="Times New Roman" w:hAnsi="Times New Roman" w:eastAsia="仿宋"/>
          <w:sz w:val="28"/>
          <w:szCs w:val="28"/>
        </w:rPr>
        <w:t>根据征求意见情况，公众对</w:t>
      </w:r>
      <w:r>
        <w:rPr>
          <w:rFonts w:hint="eastAsia" w:ascii="Times New Roman" w:hAnsi="Times New Roman" w:eastAsia="仿宋"/>
          <w:sz w:val="28"/>
          <w:szCs w:val="28"/>
          <w:lang w:eastAsia="zh-CN"/>
        </w:rPr>
        <w:t>本加油站</w:t>
      </w:r>
      <w:r>
        <w:rPr>
          <w:rFonts w:ascii="Times New Roman" w:hAnsi="Times New Roman" w:eastAsia="仿宋"/>
          <w:sz w:val="28"/>
          <w:szCs w:val="28"/>
        </w:rPr>
        <w:t>环境风险及应采取的应急措施、</w:t>
      </w:r>
      <w:r>
        <w:rPr>
          <w:rFonts w:hint="eastAsia" w:ascii="Times New Roman" w:hAnsi="Times New Roman" w:eastAsia="仿宋"/>
          <w:sz w:val="28"/>
          <w:szCs w:val="28"/>
          <w:lang w:eastAsia="zh-CN"/>
        </w:rPr>
        <w:t>本站</w:t>
      </w:r>
      <w:r>
        <w:rPr>
          <w:rFonts w:ascii="Times New Roman" w:hAnsi="Times New Roman" w:eastAsia="仿宋"/>
          <w:sz w:val="28"/>
          <w:szCs w:val="28"/>
        </w:rPr>
        <w:t>的风险防范及应急措施的态度等方面的意见如下表。</w:t>
      </w:r>
    </w:p>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
          <w:sz w:val="28"/>
          <w:szCs w:val="28"/>
          <w:highlight w:val="none"/>
        </w:rPr>
      </w:pPr>
      <w:r>
        <w:rPr>
          <w:rFonts w:ascii="Times New Roman" w:hAnsi="Times New Roman" w:eastAsia="仿宋"/>
          <w:sz w:val="28"/>
          <w:szCs w:val="28"/>
          <w:highlight w:val="none"/>
        </w:rPr>
        <w:t>表3  公众意见建议清单</w:t>
      </w:r>
    </w:p>
    <w:tbl>
      <w:tblPr>
        <w:tblStyle w:val="14"/>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652"/>
        <w:gridCol w:w="5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6"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序号</w:t>
            </w:r>
          </w:p>
        </w:tc>
        <w:tc>
          <w:tcPr>
            <w:tcW w:w="2652"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意见建议</w:t>
            </w:r>
          </w:p>
        </w:tc>
        <w:tc>
          <w:tcPr>
            <w:tcW w:w="5265"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采纳情况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6"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1</w:t>
            </w:r>
          </w:p>
        </w:tc>
        <w:tc>
          <w:tcPr>
            <w:tcW w:w="2652"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加强日常管理</w:t>
            </w:r>
          </w:p>
        </w:tc>
        <w:tc>
          <w:tcPr>
            <w:tcW w:w="5265" w:type="dxa"/>
            <w:shd w:val="clear" w:color="auto" w:fill="auto"/>
            <w:vAlign w:val="center"/>
          </w:tcPr>
          <w:p>
            <w:pPr>
              <w:pStyle w:val="6"/>
              <w:snapToGrid w:val="0"/>
              <w:jc w:val="left"/>
              <w:rPr>
                <w:rFonts w:hint="eastAsia" w:ascii="Times New Roman" w:hAnsi="Times New Roman" w:eastAsia="仿宋"/>
                <w:sz w:val="24"/>
                <w:szCs w:val="24"/>
                <w:highlight w:val="none"/>
                <w:lang w:val="en-US" w:eastAsia="zh-CN"/>
              </w:rPr>
            </w:pPr>
            <w:r>
              <w:rPr>
                <w:rFonts w:ascii="Times New Roman" w:hAnsi="Times New Roman" w:eastAsia="仿宋"/>
                <w:sz w:val="24"/>
                <w:szCs w:val="24"/>
                <w:highlight w:val="none"/>
              </w:rPr>
              <w:t>采纳。定期进行应急预案演练、培训，明确各岗位人员职责</w:t>
            </w:r>
            <w:r>
              <w:rPr>
                <w:rFonts w:hint="eastAsia" w:ascii="Times New Roman" w:hAnsi="Times New Roman" w:eastAsia="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6"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2</w:t>
            </w:r>
          </w:p>
        </w:tc>
        <w:tc>
          <w:tcPr>
            <w:tcW w:w="2652"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购置应急设施</w:t>
            </w:r>
          </w:p>
        </w:tc>
        <w:tc>
          <w:tcPr>
            <w:tcW w:w="5265" w:type="dxa"/>
            <w:shd w:val="clear" w:color="auto" w:fill="auto"/>
            <w:vAlign w:val="center"/>
          </w:tcPr>
          <w:p>
            <w:pPr>
              <w:pStyle w:val="6"/>
              <w:snapToGrid w:val="0"/>
              <w:jc w:val="left"/>
              <w:rPr>
                <w:rFonts w:ascii="Times New Roman" w:hAnsi="Times New Roman" w:eastAsia="仿宋"/>
                <w:sz w:val="24"/>
                <w:szCs w:val="24"/>
                <w:highlight w:val="none"/>
              </w:rPr>
            </w:pPr>
            <w:r>
              <w:rPr>
                <w:rFonts w:ascii="Times New Roman" w:hAnsi="Times New Roman" w:eastAsia="仿宋"/>
                <w:sz w:val="24"/>
                <w:szCs w:val="24"/>
                <w:highlight w:val="none"/>
              </w:rPr>
              <w:t>采纳。根据应急资源评估报告补充相应应急物资。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6"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3</w:t>
            </w:r>
          </w:p>
        </w:tc>
        <w:tc>
          <w:tcPr>
            <w:tcW w:w="2652" w:type="dxa"/>
            <w:shd w:val="clear" w:color="auto" w:fill="auto"/>
            <w:vAlign w:val="center"/>
          </w:tcPr>
          <w:p>
            <w:pPr>
              <w:pStyle w:val="6"/>
              <w:snapToGrid w:val="0"/>
              <w:jc w:val="center"/>
              <w:rPr>
                <w:rFonts w:ascii="Times New Roman" w:hAnsi="Times New Roman" w:eastAsia="仿宋"/>
                <w:sz w:val="24"/>
                <w:szCs w:val="24"/>
                <w:highlight w:val="none"/>
              </w:rPr>
            </w:pPr>
            <w:r>
              <w:rPr>
                <w:rFonts w:ascii="Times New Roman" w:hAnsi="Times New Roman" w:eastAsia="仿宋"/>
                <w:sz w:val="24"/>
                <w:szCs w:val="24"/>
                <w:highlight w:val="none"/>
              </w:rPr>
              <w:t>加强日常风险排查</w:t>
            </w:r>
          </w:p>
        </w:tc>
        <w:tc>
          <w:tcPr>
            <w:tcW w:w="5265" w:type="dxa"/>
            <w:shd w:val="clear" w:color="auto" w:fill="auto"/>
            <w:vAlign w:val="center"/>
          </w:tcPr>
          <w:p>
            <w:pPr>
              <w:pStyle w:val="6"/>
              <w:snapToGrid w:val="0"/>
              <w:jc w:val="left"/>
              <w:rPr>
                <w:rFonts w:hint="eastAsia" w:ascii="Times New Roman" w:hAnsi="Times New Roman" w:eastAsia="仿宋"/>
                <w:sz w:val="24"/>
                <w:szCs w:val="24"/>
                <w:highlight w:val="none"/>
                <w:lang w:eastAsia="zh-CN"/>
              </w:rPr>
            </w:pPr>
            <w:r>
              <w:rPr>
                <w:rFonts w:ascii="Times New Roman" w:hAnsi="Times New Roman" w:eastAsia="仿宋"/>
                <w:sz w:val="24"/>
                <w:szCs w:val="24"/>
                <w:highlight w:val="none"/>
              </w:rPr>
              <w:t>采纳。</w:t>
            </w:r>
            <w:r>
              <w:rPr>
                <w:rFonts w:hint="eastAsia" w:ascii="Times New Roman" w:hAnsi="Times New Roman" w:eastAsia="仿宋"/>
                <w:sz w:val="24"/>
                <w:szCs w:val="24"/>
                <w:highlight w:val="none"/>
                <w:lang w:eastAsia="zh-CN"/>
              </w:rPr>
              <w:t>本加油站</w:t>
            </w:r>
            <w:r>
              <w:rPr>
                <w:rFonts w:ascii="Times New Roman" w:hAnsi="Times New Roman" w:eastAsia="仿宋"/>
                <w:sz w:val="24"/>
                <w:szCs w:val="24"/>
                <w:highlight w:val="none"/>
              </w:rPr>
              <w:t>在班人员加强厂区巡查频次</w:t>
            </w:r>
            <w:r>
              <w:rPr>
                <w:rFonts w:hint="eastAsia" w:ascii="Times New Roman" w:hAnsi="Times New Roman" w:eastAsia="仿宋"/>
                <w:sz w:val="24"/>
                <w:szCs w:val="24"/>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kern w:val="2"/>
          <w:sz w:val="28"/>
          <w:szCs w:val="28"/>
          <w:lang w:val="en-US" w:eastAsia="zh-CN" w:bidi="ar-SA"/>
        </w:rPr>
      </w:pPr>
    </w:p>
    <w:p>
      <w:pPr>
        <w:widowControl w:val="0"/>
        <w:snapToGrid w:val="0"/>
        <w:spacing w:before="156" w:beforeLines="50" w:after="156" w:afterLines="50" w:line="240" w:lineRule="auto"/>
        <w:ind w:firstLine="562" w:firstLineChars="200"/>
        <w:jc w:val="both"/>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六、《预案》评审情况</w:t>
      </w:r>
    </w:p>
    <w:p>
      <w:pPr>
        <w:widowControl w:val="0"/>
        <w:snapToGrid w:val="0"/>
        <w:spacing w:line="240" w:lineRule="auto"/>
        <w:ind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评审过程分为内部评审和外部评审。《预案》初稿形成后，由预案编制组各成员及生产岗位技术负责人员进行了内部审查，开会讨论，对各项内容进行了核实和修改，形成了《预案》送审稿。</w:t>
      </w:r>
    </w:p>
    <w:p>
      <w:pPr>
        <w:widowControl w:val="0"/>
        <w:snapToGrid w:val="0"/>
        <w:spacing w:line="240" w:lineRule="auto"/>
        <w:ind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《预案》送审稿经由预案评审专家进行了技术评审，听取了各位专家的宝贵意见，并根据评审意见进一步修改完善，形成本《预案》。</w:t>
      </w:r>
    </w:p>
    <w:p>
      <w:pPr>
        <w:widowControl w:val="0"/>
        <w:snapToGrid w:val="0"/>
        <w:spacing w:before="156" w:beforeLines="50" w:after="156" w:afterLines="50" w:line="240" w:lineRule="auto"/>
        <w:ind w:firstLine="562" w:firstLineChars="200"/>
        <w:jc w:val="both"/>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七、需要说明的其他事项</w:t>
      </w:r>
    </w:p>
    <w:p>
      <w:pPr>
        <w:widowControl w:val="0"/>
        <w:snapToGrid w:val="0"/>
        <w:spacing w:line="240" w:lineRule="auto"/>
        <w:ind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由于应急预案的编制专业性较强，本预案编制过程中难免有疏漏之处，请各位专家多提出宝贵意见。</w:t>
      </w:r>
    </w:p>
    <w:p>
      <w:pPr>
        <w:widowControl w:val="0"/>
        <w:snapToGrid w:val="0"/>
        <w:spacing w:before="156" w:beforeLines="50" w:after="156" w:afterLines="50" w:line="240" w:lineRule="auto"/>
        <w:ind w:firstLine="562" w:firstLineChars="200"/>
        <w:jc w:val="both"/>
        <w:outlineLvl w:val="0"/>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八、演练暴露问题清单及解决措施</w:t>
      </w:r>
      <w:bookmarkEnd w:id="4"/>
    </w:p>
    <w:p>
      <w:pPr>
        <w:widowControl w:val="0"/>
        <w:snapToGrid w:val="0"/>
        <w:spacing w:line="240" w:lineRule="auto"/>
        <w:ind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根据《中国石油天然气股份有限公司天津销售分公司津南区殿祥加油站突发环境事件应急预案》内容，中国石油天然气股份有限公司天津销售分公司津南区殿祥加油站对应急预案进行了桌面推演，推演过程中暴露出应急职责不明、应急物资放置位置不清楚、未与其他组织或单位签订应急救援协议或互救协议等问题。具体问题及应对措施如下表。</w:t>
      </w:r>
    </w:p>
    <w:p>
      <w:pPr>
        <w:pStyle w:val="6"/>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sz w:val="28"/>
          <w:szCs w:val="28"/>
          <w:highlight w:val="none"/>
          <w:lang w:val="en-US" w:eastAsia="zh-CN"/>
        </w:rPr>
      </w:pPr>
      <w:r>
        <w:rPr>
          <w:rFonts w:hint="eastAsia" w:ascii="Times New Roman" w:hAnsi="Times New Roman" w:eastAsia="仿宋"/>
          <w:sz w:val="28"/>
          <w:szCs w:val="28"/>
          <w:highlight w:val="none"/>
          <w:lang w:val="en-US" w:eastAsia="zh-CN"/>
        </w:rPr>
        <w:t>表4  问题清单及解决措施</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3387"/>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70"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序号</w:t>
            </w:r>
          </w:p>
        </w:tc>
        <w:tc>
          <w:tcPr>
            <w:tcW w:w="3387"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演练暴露问题</w:t>
            </w:r>
          </w:p>
        </w:tc>
        <w:tc>
          <w:tcPr>
            <w:tcW w:w="4365"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解决措施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70"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c>
          <w:tcPr>
            <w:tcW w:w="3387"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应急小组中某些组员对自身岗位职责不明</w:t>
            </w:r>
          </w:p>
        </w:tc>
        <w:tc>
          <w:tcPr>
            <w:tcW w:w="4365"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定期组织应急预案培训，并进行测试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70"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w:t>
            </w:r>
          </w:p>
        </w:tc>
        <w:tc>
          <w:tcPr>
            <w:tcW w:w="3387"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应急小组成员对应急物资放置地点不清楚</w:t>
            </w:r>
          </w:p>
        </w:tc>
        <w:tc>
          <w:tcPr>
            <w:tcW w:w="4365"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定期组织应急预案培训，重点培训应急物资储备形式及地点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70"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w:t>
            </w:r>
          </w:p>
        </w:tc>
        <w:tc>
          <w:tcPr>
            <w:tcW w:w="3387"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未与其他组织或单位签订应急救援协议或互救协议</w:t>
            </w:r>
          </w:p>
        </w:tc>
        <w:tc>
          <w:tcPr>
            <w:tcW w:w="4365" w:type="dxa"/>
            <w:shd w:val="clear" w:color="auto" w:fill="auto"/>
            <w:vAlign w:val="center"/>
          </w:tcPr>
          <w:p>
            <w:pPr>
              <w:widowControl w:val="0"/>
              <w:snapToGrid w:val="0"/>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抓紧与周边企业和医疗机构签订应急救援协议或互救协议。</w:t>
            </w:r>
          </w:p>
        </w:tc>
      </w:tr>
      <w:bookmarkEnd w:id="0"/>
    </w:tbl>
    <w:p>
      <w:pPr>
        <w:autoSpaceDE w:val="0"/>
        <w:autoSpaceDN w:val="0"/>
        <w:adjustRightInd w:val="0"/>
        <w:spacing w:line="360" w:lineRule="auto"/>
        <w:rPr>
          <w:rFonts w:hint="default" w:ascii="Times New Roman" w:hAnsi="Times New Roman" w:eastAsia="宋体" w:cs="Times New Roman"/>
          <w:color w:val="auto"/>
          <w:kern w:val="0"/>
          <w:sz w:val="24"/>
          <w:highlight w:val="none"/>
          <w:shd w:val="clear" w:color="auto" w:fill="auto"/>
        </w:rPr>
      </w:pPr>
    </w:p>
    <w:p>
      <w:pPr>
        <w:widowControl w:val="0"/>
        <w:adjustRightInd w:val="0"/>
        <w:snapToGrid w:val="0"/>
        <w:spacing w:line="240" w:lineRule="auto"/>
        <w:jc w:val="center"/>
        <w:textAlignment w:val="baseline"/>
        <w:rPr>
          <w:rFonts w:hint="default" w:ascii="Times New Roman" w:hAnsi="Times New Roman" w:eastAsia="宋体" w:cs="Times New Roman"/>
          <w:color w:val="auto"/>
          <w:kern w:val="0"/>
          <w:sz w:val="24"/>
          <w:highlight w:val="none"/>
          <w:shd w:val="clear" w:color="auto" w:fill="auto"/>
          <w:lang w:val="en-US" w:eastAsia="zh-CN" w:bidi="ar-SA"/>
        </w:rPr>
      </w:pPr>
    </w:p>
    <w:p>
      <w:pPr>
        <w:numPr>
          <w:ilvl w:val="0"/>
          <w:numId w:val="0"/>
        </w:numPr>
        <w:tabs>
          <w:tab w:val="left" w:pos="0"/>
        </w:tabs>
        <w:spacing w:before="0" w:beforeLines="0" w:after="0" w:afterLines="0"/>
        <w:ind w:left="0"/>
        <w:jc w:val="both"/>
        <w:outlineLvl w:val="4"/>
        <w:rPr>
          <w:rFonts w:hint="eastAsia" w:ascii="黑体" w:hAnsi="Times New Roman" w:eastAsia="宋体" w:cs="Times New Roman"/>
          <w:b/>
          <w:bCs/>
          <w:sz w:val="21"/>
          <w:lang w:val="en-US" w:eastAsia="zh-CN" w:bidi="ar-SA"/>
        </w:rPr>
      </w:pPr>
      <w:r>
        <w:rPr>
          <w:rFonts w:hint="eastAsia" w:ascii="Times New Roman" w:hAnsi="Times New Roman" w:eastAsia="宋体" w:cs="Times New Roman"/>
          <w:b/>
          <w:bCs/>
          <w:color w:val="auto"/>
          <w:kern w:val="0"/>
          <w:sz w:val="24"/>
          <w:highlight w:val="none"/>
          <w:shd w:val="clear" w:color="auto" w:fill="auto"/>
          <w:lang w:val="en-US" w:eastAsia="zh-CN" w:bidi="ar-SA"/>
        </w:rPr>
        <w:t>附件 征求意见表</w:t>
      </w:r>
    </w:p>
    <w:p>
      <w:pPr>
        <w:jc w:val="center"/>
        <w:rPr>
          <w:rFonts w:hint="eastAsia" w:eastAsia="宋体"/>
          <w:b/>
          <w:sz w:val="28"/>
          <w:szCs w:val="28"/>
          <w:lang w:eastAsia="zh-CN"/>
        </w:rPr>
      </w:pPr>
      <w:r>
        <w:rPr>
          <w:rFonts w:hint="eastAsia" w:eastAsia="宋体"/>
          <w:b/>
          <w:sz w:val="28"/>
          <w:szCs w:val="28"/>
          <w:lang w:eastAsia="zh-CN"/>
        </w:rPr>
        <w:drawing>
          <wp:inline distT="0" distB="0" distL="114300" distR="114300">
            <wp:extent cx="7286625" cy="5464810"/>
            <wp:effectExtent l="0" t="0" r="2540" b="9525"/>
            <wp:docPr id="2" name="图片 2" descr="38a4dfd09d9c0e00a3eb91c9fbec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a4dfd09d9c0e00a3eb91c9fbece3c"/>
                    <pic:cNvPicPr>
                      <a:picLocks noChangeAspect="1"/>
                    </pic:cNvPicPr>
                  </pic:nvPicPr>
                  <pic:blipFill>
                    <a:blip r:embed="rId11"/>
                    <a:stretch>
                      <a:fillRect/>
                    </a:stretch>
                  </pic:blipFill>
                  <pic:spPr>
                    <a:xfrm rot="16200000">
                      <a:off x="0" y="0"/>
                      <a:ext cx="7286625" cy="5464810"/>
                    </a:xfrm>
                    <a:prstGeom prst="rect">
                      <a:avLst/>
                    </a:prstGeom>
                  </pic:spPr>
                </pic:pic>
              </a:graphicData>
            </a:graphic>
          </wp:inline>
        </w:drawing>
      </w:r>
    </w:p>
    <w:p>
      <w:pPr>
        <w:jc w:val="center"/>
        <w:rPr>
          <w:rFonts w:hint="eastAsia" w:eastAsia="宋体"/>
          <w:b/>
          <w:sz w:val="28"/>
          <w:szCs w:val="28"/>
          <w:lang w:eastAsia="zh-CN"/>
        </w:rPr>
      </w:pPr>
    </w:p>
    <w:p>
      <w:pPr>
        <w:autoSpaceDE w:val="0"/>
        <w:autoSpaceDN w:val="0"/>
        <w:adjustRightInd w:val="0"/>
        <w:spacing w:line="360" w:lineRule="auto"/>
        <w:jc w:val="center"/>
        <w:rPr>
          <w:kern w:val="0"/>
          <w:sz w:val="24"/>
        </w:rPr>
      </w:pPr>
      <w:bookmarkStart w:id="5" w:name="_GoBack"/>
      <w:bookmarkEnd w:id="5"/>
      <w:r>
        <w:rPr>
          <w:rFonts w:hint="eastAsia" w:eastAsia="宋体"/>
          <w:b/>
          <w:sz w:val="28"/>
          <w:szCs w:val="28"/>
          <w:lang w:eastAsia="zh-CN"/>
        </w:rPr>
        <w:drawing>
          <wp:inline distT="0" distB="0" distL="114300" distR="114300">
            <wp:extent cx="7234555" cy="5427345"/>
            <wp:effectExtent l="0" t="0" r="1905" b="4445"/>
            <wp:docPr id="3" name="图片 3" descr="95fcfd5f1a3f5bcfab40c82acb56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fcfd5f1a3f5bcfab40c82acb5623c"/>
                    <pic:cNvPicPr>
                      <a:picLocks noChangeAspect="1"/>
                    </pic:cNvPicPr>
                  </pic:nvPicPr>
                  <pic:blipFill>
                    <a:blip r:embed="rId12"/>
                    <a:stretch>
                      <a:fillRect/>
                    </a:stretch>
                  </pic:blipFill>
                  <pic:spPr>
                    <a:xfrm rot="16200000">
                      <a:off x="0" y="0"/>
                      <a:ext cx="7234555" cy="5427345"/>
                    </a:xfrm>
                    <a:prstGeom prst="rect">
                      <a:avLst/>
                    </a:prstGeom>
                  </pic:spPr>
                </pic:pic>
              </a:graphicData>
            </a:graphic>
          </wp:inline>
        </w:drawing>
      </w:r>
      <w:r>
        <w:rPr>
          <w:rFonts w:hint="eastAsia" w:eastAsia="宋体"/>
          <w:b/>
          <w:sz w:val="28"/>
          <w:szCs w:val="28"/>
          <w:lang w:eastAsia="zh-CN"/>
        </w:rPr>
        <w:drawing>
          <wp:inline distT="0" distB="0" distL="114300" distR="114300">
            <wp:extent cx="7260590" cy="5445760"/>
            <wp:effectExtent l="0" t="0" r="2540" b="16510"/>
            <wp:docPr id="4" name="图片 4" descr="6e98f592ec68747b0ceb11f60329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98f592ec68747b0ceb11f603296ee"/>
                    <pic:cNvPicPr>
                      <a:picLocks noChangeAspect="1"/>
                    </pic:cNvPicPr>
                  </pic:nvPicPr>
                  <pic:blipFill>
                    <a:blip r:embed="rId13"/>
                    <a:stretch>
                      <a:fillRect/>
                    </a:stretch>
                  </pic:blipFill>
                  <pic:spPr>
                    <a:xfrm rot="16200000">
                      <a:off x="0" y="0"/>
                      <a:ext cx="7260590" cy="5445760"/>
                    </a:xfrm>
                    <a:prstGeom prst="rect">
                      <a:avLst/>
                    </a:prstGeom>
                  </pic:spPr>
                </pic:pic>
              </a:graphicData>
            </a:graphic>
          </wp:inline>
        </w:drawing>
      </w:r>
      <w:r>
        <w:rPr>
          <w:rFonts w:hint="eastAsia" w:eastAsia="宋体"/>
          <w:b/>
          <w:sz w:val="28"/>
          <w:szCs w:val="28"/>
          <w:lang w:eastAsia="zh-CN"/>
        </w:rPr>
        <w:drawing>
          <wp:inline distT="0" distB="0" distL="114300" distR="114300">
            <wp:extent cx="7264400" cy="5448300"/>
            <wp:effectExtent l="0" t="0" r="0" b="12700"/>
            <wp:docPr id="5" name="图片 5" descr="bd8a5615c5609c1422523375b88d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8a5615c5609c1422523375b88d993"/>
                    <pic:cNvPicPr>
                      <a:picLocks noChangeAspect="1"/>
                    </pic:cNvPicPr>
                  </pic:nvPicPr>
                  <pic:blipFill>
                    <a:blip r:embed="rId14"/>
                    <a:stretch>
                      <a:fillRect/>
                    </a:stretch>
                  </pic:blipFill>
                  <pic:spPr>
                    <a:xfrm rot="16200000">
                      <a:off x="0" y="0"/>
                      <a:ext cx="7264400" cy="5448300"/>
                    </a:xfrm>
                    <a:prstGeom prst="rect">
                      <a:avLst/>
                    </a:prstGeom>
                  </pic:spPr>
                </pic:pic>
              </a:graphicData>
            </a:graphic>
          </wp:inline>
        </w:drawing>
      </w:r>
      <w:r>
        <w:rPr>
          <w:rFonts w:hint="eastAsia" w:eastAsia="宋体"/>
          <w:b/>
          <w:sz w:val="28"/>
          <w:szCs w:val="28"/>
          <w:lang w:eastAsia="zh-CN"/>
        </w:rPr>
        <w:drawing>
          <wp:inline distT="0" distB="0" distL="114300" distR="114300">
            <wp:extent cx="7155180" cy="5367020"/>
            <wp:effectExtent l="0" t="0" r="5080" b="7620"/>
            <wp:docPr id="6" name="图片 6" descr="24b0436484ab48ad03fd9689fc6d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b0436484ab48ad03fd9689fc6de4f"/>
                    <pic:cNvPicPr>
                      <a:picLocks noChangeAspect="1"/>
                    </pic:cNvPicPr>
                  </pic:nvPicPr>
                  <pic:blipFill>
                    <a:blip r:embed="rId15"/>
                    <a:stretch>
                      <a:fillRect/>
                    </a:stretch>
                  </pic:blipFill>
                  <pic:spPr>
                    <a:xfrm rot="16200000">
                      <a:off x="0" y="0"/>
                      <a:ext cx="7155180" cy="5367020"/>
                    </a:xfrm>
                    <a:prstGeom prst="rect">
                      <a:avLst/>
                    </a:prstGeom>
                  </pic:spPr>
                </pic:pic>
              </a:graphicData>
            </a:graphic>
          </wp:inline>
        </w:drawing>
      </w:r>
      <w:r>
        <w:rPr>
          <w:rFonts w:hint="eastAsia" w:eastAsia="宋体"/>
          <w:b/>
          <w:sz w:val="28"/>
          <w:szCs w:val="28"/>
          <w:lang w:eastAsia="zh-CN"/>
        </w:rPr>
        <w:drawing>
          <wp:inline distT="0" distB="0" distL="114300" distR="114300">
            <wp:extent cx="7200265" cy="5401310"/>
            <wp:effectExtent l="0" t="0" r="8890" b="635"/>
            <wp:docPr id="7" name="图片 7" descr="ffd17c0c361ebc8cddde69871901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fd17c0c361ebc8cddde6987190143b"/>
                    <pic:cNvPicPr>
                      <a:picLocks noChangeAspect="1"/>
                    </pic:cNvPicPr>
                  </pic:nvPicPr>
                  <pic:blipFill>
                    <a:blip r:embed="rId16"/>
                    <a:stretch>
                      <a:fillRect/>
                    </a:stretch>
                  </pic:blipFill>
                  <pic:spPr>
                    <a:xfrm rot="16200000">
                      <a:off x="0" y="0"/>
                      <a:ext cx="7200265" cy="5401310"/>
                    </a:xfrm>
                    <a:prstGeom prst="rect">
                      <a:avLst/>
                    </a:prstGeom>
                  </pic:spPr>
                </pic:pic>
              </a:graphicData>
            </a:graphic>
          </wp:inline>
        </w:drawing>
      </w:r>
      <w:r>
        <w:rPr>
          <w:rFonts w:hint="eastAsia" w:eastAsia="宋体"/>
          <w:b/>
          <w:sz w:val="28"/>
          <w:szCs w:val="28"/>
          <w:lang w:eastAsia="zh-CN"/>
        </w:rPr>
        <w:drawing>
          <wp:inline distT="0" distB="0" distL="114300" distR="114300">
            <wp:extent cx="7339330" cy="5506085"/>
            <wp:effectExtent l="0" t="0" r="18415" b="13970"/>
            <wp:docPr id="8" name="图片 8" descr="26ae1f37c55c6f85d3c4b8a40c5b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6ae1f37c55c6f85d3c4b8a40c5b613"/>
                    <pic:cNvPicPr>
                      <a:picLocks noChangeAspect="1"/>
                    </pic:cNvPicPr>
                  </pic:nvPicPr>
                  <pic:blipFill>
                    <a:blip r:embed="rId17"/>
                    <a:stretch>
                      <a:fillRect/>
                    </a:stretch>
                  </pic:blipFill>
                  <pic:spPr>
                    <a:xfrm rot="16200000">
                      <a:off x="0" y="0"/>
                      <a:ext cx="7339330" cy="5506085"/>
                    </a:xfrm>
                    <a:prstGeom prst="rect">
                      <a:avLst/>
                    </a:prstGeom>
                  </pic:spPr>
                </pic:pic>
              </a:graphicData>
            </a:graphic>
          </wp:inline>
        </w:drawing>
      </w:r>
      <w:r>
        <w:rPr>
          <w:rFonts w:hint="eastAsia" w:eastAsia="宋体"/>
          <w:b/>
          <w:sz w:val="28"/>
          <w:szCs w:val="28"/>
          <w:lang w:eastAsia="zh-CN"/>
        </w:rPr>
        <w:drawing>
          <wp:inline distT="0" distB="0" distL="114300" distR="114300">
            <wp:extent cx="7291705" cy="5469890"/>
            <wp:effectExtent l="0" t="0" r="16510" b="4445"/>
            <wp:docPr id="9" name="图片 9" descr="a0f59059e7d18c47de6782d6e1d6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0f59059e7d18c47de6782d6e1d638b"/>
                    <pic:cNvPicPr>
                      <a:picLocks noChangeAspect="1"/>
                    </pic:cNvPicPr>
                  </pic:nvPicPr>
                  <pic:blipFill>
                    <a:blip r:embed="rId18"/>
                    <a:stretch>
                      <a:fillRect/>
                    </a:stretch>
                  </pic:blipFill>
                  <pic:spPr>
                    <a:xfrm rot="16200000">
                      <a:off x="0" y="0"/>
                      <a:ext cx="7291705" cy="5469890"/>
                    </a:xfrm>
                    <a:prstGeom prst="rect">
                      <a:avLst/>
                    </a:prstGeom>
                  </pic:spPr>
                </pic:pic>
              </a:graphicData>
            </a:graphic>
          </wp:inline>
        </w:drawing>
      </w:r>
      <w:r>
        <w:rPr>
          <w:rFonts w:hint="eastAsia" w:eastAsia="宋体"/>
          <w:b/>
          <w:sz w:val="28"/>
          <w:szCs w:val="28"/>
          <w:lang w:eastAsia="zh-CN"/>
        </w:rPr>
        <w:drawing>
          <wp:inline distT="0" distB="0" distL="114300" distR="114300">
            <wp:extent cx="7339330" cy="5505450"/>
            <wp:effectExtent l="0" t="0" r="0" b="13970"/>
            <wp:docPr id="10" name="图片 10" descr="5b8c47502d2702eef7e47e51bd91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b8c47502d2702eef7e47e51bd91ef2"/>
                    <pic:cNvPicPr>
                      <a:picLocks noChangeAspect="1"/>
                    </pic:cNvPicPr>
                  </pic:nvPicPr>
                  <pic:blipFill>
                    <a:blip r:embed="rId19"/>
                    <a:stretch>
                      <a:fillRect/>
                    </a:stretch>
                  </pic:blipFill>
                  <pic:spPr>
                    <a:xfrm rot="16200000">
                      <a:off x="0" y="0"/>
                      <a:ext cx="7339330" cy="550545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1" name="图片 11" descr="84499f11de9207aca75e93e3179f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4499f11de9207aca75e93e3179f8ac"/>
                    <pic:cNvPicPr>
                      <a:picLocks noChangeAspect="1"/>
                    </pic:cNvPicPr>
                  </pic:nvPicPr>
                  <pic:blipFill>
                    <a:blip r:embed="rId20"/>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2" name="图片 12" descr="33887934aabc78ff6252193288d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887934aabc78ff6252193288de209"/>
                    <pic:cNvPicPr>
                      <a:picLocks noChangeAspect="1"/>
                    </pic:cNvPicPr>
                  </pic:nvPicPr>
                  <pic:blipFill>
                    <a:blip r:embed="rId21"/>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3" name="图片 13" descr="2539e02fab3e357bf53eedf54508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39e02fab3e357bf53eedf54508e66"/>
                    <pic:cNvPicPr>
                      <a:picLocks noChangeAspect="1"/>
                    </pic:cNvPicPr>
                  </pic:nvPicPr>
                  <pic:blipFill>
                    <a:blip r:embed="rId22"/>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4" name="图片 14" descr="536e5410763d1a99af1607d34031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36e5410763d1a99af1607d34031ab7"/>
                    <pic:cNvPicPr>
                      <a:picLocks noChangeAspect="1"/>
                    </pic:cNvPicPr>
                  </pic:nvPicPr>
                  <pic:blipFill>
                    <a:blip r:embed="rId23"/>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5" name="图片 15" descr="9a0bd15a8576a14d7e6bd74e5101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a0bd15a8576a14d7e6bd74e51012ea"/>
                    <pic:cNvPicPr>
                      <a:picLocks noChangeAspect="1"/>
                    </pic:cNvPicPr>
                  </pic:nvPicPr>
                  <pic:blipFill>
                    <a:blip r:embed="rId24"/>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6" name="图片 16" descr="67919988312acd448e227f6145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919988312acd448e227f614535534"/>
                    <pic:cNvPicPr>
                      <a:picLocks noChangeAspect="1"/>
                    </pic:cNvPicPr>
                  </pic:nvPicPr>
                  <pic:blipFill>
                    <a:blip r:embed="rId25"/>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7" name="图片 17" descr="e24cd11338ee57110cb62817803b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4cd11338ee57110cb62817803b9a5"/>
                    <pic:cNvPicPr>
                      <a:picLocks noChangeAspect="1"/>
                    </pic:cNvPicPr>
                  </pic:nvPicPr>
                  <pic:blipFill>
                    <a:blip r:embed="rId26"/>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8" name="图片 18" descr="20878ad3c2f7a236626badf6ce0a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878ad3c2f7a236626badf6ce0a8c4"/>
                    <pic:cNvPicPr>
                      <a:picLocks noChangeAspect="1"/>
                    </pic:cNvPicPr>
                  </pic:nvPicPr>
                  <pic:blipFill>
                    <a:blip r:embed="rId27"/>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19" name="图片 19" descr="2d1bfc8edde0089e3d125dfdac89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d1bfc8edde0089e3d125dfdac8968c"/>
                    <pic:cNvPicPr>
                      <a:picLocks noChangeAspect="1"/>
                    </pic:cNvPicPr>
                  </pic:nvPicPr>
                  <pic:blipFill>
                    <a:blip r:embed="rId28"/>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20" name="图片 20" descr="5a808479b384e54f7a0efaf082a9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a808479b384e54f7a0efaf082a993b"/>
                    <pic:cNvPicPr>
                      <a:picLocks noChangeAspect="1"/>
                    </pic:cNvPicPr>
                  </pic:nvPicPr>
                  <pic:blipFill>
                    <a:blip r:embed="rId29"/>
                    <a:stretch>
                      <a:fillRect/>
                    </a:stretch>
                  </pic:blipFill>
                  <pic:spPr>
                    <a:xfrm>
                      <a:off x="0" y="0"/>
                      <a:ext cx="5467985" cy="7291070"/>
                    </a:xfrm>
                    <a:prstGeom prst="rect">
                      <a:avLst/>
                    </a:prstGeom>
                  </pic:spPr>
                </pic:pic>
              </a:graphicData>
            </a:graphic>
          </wp:inline>
        </w:drawing>
      </w:r>
      <w:r>
        <w:rPr>
          <w:rFonts w:hint="eastAsia" w:eastAsia="宋体"/>
          <w:b/>
          <w:sz w:val="28"/>
          <w:szCs w:val="28"/>
          <w:lang w:eastAsia="zh-CN"/>
        </w:rPr>
        <w:drawing>
          <wp:inline distT="0" distB="0" distL="114300" distR="114300">
            <wp:extent cx="5467985" cy="7291070"/>
            <wp:effectExtent l="0" t="0" r="18415" b="5080"/>
            <wp:docPr id="21" name="图片 21" descr="6dd026ed2b80121d1622e3c0700b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dd026ed2b80121d1622e3c0700b6ba"/>
                    <pic:cNvPicPr>
                      <a:picLocks noChangeAspect="1"/>
                    </pic:cNvPicPr>
                  </pic:nvPicPr>
                  <pic:blipFill>
                    <a:blip r:embed="rId30"/>
                    <a:stretch>
                      <a:fillRect/>
                    </a:stretch>
                  </pic:blipFill>
                  <pic:spPr>
                    <a:xfrm>
                      <a:off x="0" y="0"/>
                      <a:ext cx="5467985" cy="7291070"/>
                    </a:xfrm>
                    <a:prstGeom prst="rect">
                      <a:avLst/>
                    </a:prstGeom>
                  </pic:spPr>
                </pic:pic>
              </a:graphicData>
            </a:graphic>
          </wp:inline>
        </w:drawing>
      </w:r>
    </w:p>
    <w:sectPr>
      <w:headerReference r:id="rId7" w:type="first"/>
      <w:footerReference r:id="rId9" w:type="first"/>
      <w:headerReference r:id="rId6" w:type="default"/>
      <w:footerReference r:id="rId8" w:type="default"/>
      <w:pgSz w:w="11907" w:h="16839"/>
      <w:pgMar w:top="1440" w:right="1440" w:bottom="1440" w:left="1800" w:header="851" w:footer="992"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7"/>
      </w:tabs>
      <w:snapToGrid w:val="0"/>
      <w:spacing w:line="240" w:lineRule="auto"/>
      <w:jc w:val="left"/>
      <w:rPr>
        <w:rFonts w:ascii="Times New Roman" w:hAnsi="Times New Roman" w:eastAsia="宋体" w:cs="Times New Roman"/>
        <w:kern w:val="2"/>
        <w:sz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7"/>
      </w:tabs>
      <w:snapToGrid w:val="0"/>
      <w:spacing w:line="240" w:lineRule="auto"/>
      <w:jc w:val="center"/>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Fonts w:ascii="Times New Roman" w:hAnsi="Times New Roman" w:eastAsia="宋体" w:cs="Times New Roman"/>
        <w:kern w:val="2"/>
        <w:sz w:val="18"/>
        <w:lang w:val="en-US" w:eastAsia="zh-CN" w:bidi="ar-SA"/>
      </w:rPr>
      <w:instrText xml:space="preserve">Page</w:instrText>
    </w:r>
    <w:r>
      <w:rPr>
        <w:rFonts w:ascii="Times New Roman" w:hAnsi="Times New Roman" w:eastAsia="宋体" w:cs="Times New Roman"/>
        <w:kern w:val="2"/>
        <w:sz w:val="18"/>
        <w:lang w:val="en-US" w:eastAsia="zh-CN" w:bidi="ar-SA"/>
      </w:rPr>
      <w:fldChar w:fldCharType="separate"/>
    </w:r>
    <w:r>
      <w:rPr>
        <w:rFonts w:ascii="Times New Roman" w:hAnsi="Times New Roman" w:eastAsia="宋体" w:cs="Times New Roman"/>
        <w:kern w:val="2"/>
        <w:sz w:val="18"/>
        <w:lang w:val="en-US" w:eastAsia="zh-CN" w:bidi="ar-SA"/>
      </w:rPr>
      <w:t>1</w:t>
    </w:r>
    <w:r>
      <w:rPr>
        <w:rFonts w:ascii="Times New Roman" w:hAnsi="Times New Roman" w:eastAsia="宋体" w:cs="Times New Roman"/>
        <w:kern w:val="2"/>
        <w:sz w:val="18"/>
        <w:lang w:val="en-US" w:eastAsia="zh-CN"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lrmbCAgAA2A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hyWuZsICAADYBQAADgAAAAAA&#10;AAABACAAAAAfAQAAZHJzL2Uyb0RvYy54bWxQSwUGAAAAAAYABgBZAQAAUwY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7"/>
      </w:tabs>
      <w:snapToGrid w:val="0"/>
      <w:spacing w:line="240" w:lineRule="auto"/>
      <w:jc w:val="center"/>
      <w:rPr>
        <w:rFonts w:ascii="Times New Roman" w:hAnsi="Times New Roman" w:eastAsia="宋体" w:cs="Times New Roman"/>
        <w:kern w:val="2"/>
        <w:sz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tabs>
        <w:tab w:val="right" w:leader="dot" w:pos="8296"/>
      </w:tabs>
      <w:adjustRightInd w:val="0"/>
      <w:snapToGrid w:val="0"/>
    </w:pPr>
    <w:r>
      <w:rPr>
        <w:rFonts w:hint="eastAsia" w:ascii="宋体" w:hAnsi="宋体" w:cs="华文中宋"/>
        <w:bCs/>
        <w:sz w:val="21"/>
        <w:szCs w:val="21"/>
        <w:lang w:val="en-US" w:eastAsia="zh-CN"/>
      </w:rPr>
      <w:t>中国石油天然气股份有限公司天津销售分公司津南区殿祥加油站</w:t>
    </w:r>
    <w:r>
      <w:rPr>
        <w:rFonts w:hint="eastAsia" w:ascii="宋体" w:hAnsi="宋体" w:cs="华文中宋"/>
        <w:bCs/>
        <w:sz w:val="21"/>
        <w:szCs w:val="21"/>
      </w:rPr>
      <w:t>应急预案编制情况说明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0"/>
      </w:pBdr>
      <w:tabs>
        <w:tab w:val="right" w:leader="dot" w:pos="8296"/>
      </w:tabs>
      <w:adjustRightInd w:val="0"/>
      <w:snapToGrid w:val="0"/>
    </w:pPr>
    <w:r>
      <w:rPr>
        <w:rFonts w:hint="eastAsia" w:ascii="宋体" w:hAnsi="宋体" w:cs="华文中宋"/>
        <w:bCs/>
        <w:sz w:val="21"/>
        <w:szCs w:val="21"/>
        <w:lang w:val="en-US" w:eastAsia="zh-CN"/>
      </w:rPr>
      <w:t>中国石油天然气股份有限公司天津销售分公司津南区殿祥加油站</w:t>
    </w:r>
    <w:r>
      <w:rPr>
        <w:rFonts w:hint="eastAsia" w:ascii="宋体" w:hAnsi="宋体" w:cs="华文中宋"/>
        <w:bCs/>
        <w:sz w:val="21"/>
        <w:szCs w:val="21"/>
      </w:rPr>
      <w:t>应急预案编制情况说明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4"/>
  </w:compat>
  <w:rsids>
    <w:rsidRoot w:val="00610B0D"/>
    <w:rsid w:val="000107EC"/>
    <w:rsid w:val="0001392D"/>
    <w:rsid w:val="00023E07"/>
    <w:rsid w:val="00035E6D"/>
    <w:rsid w:val="00047C94"/>
    <w:rsid w:val="00050AAA"/>
    <w:rsid w:val="00060979"/>
    <w:rsid w:val="000C7746"/>
    <w:rsid w:val="000D7D3B"/>
    <w:rsid w:val="000E31B3"/>
    <w:rsid w:val="000E565E"/>
    <w:rsid w:val="000F42E3"/>
    <w:rsid w:val="000F56B5"/>
    <w:rsid w:val="001612A2"/>
    <w:rsid w:val="0016717A"/>
    <w:rsid w:val="001A4BC9"/>
    <w:rsid w:val="001E7C14"/>
    <w:rsid w:val="00200C2F"/>
    <w:rsid w:val="00233B0F"/>
    <w:rsid w:val="00250F70"/>
    <w:rsid w:val="0025271B"/>
    <w:rsid w:val="002A6E01"/>
    <w:rsid w:val="002F36C6"/>
    <w:rsid w:val="0030130B"/>
    <w:rsid w:val="0032017F"/>
    <w:rsid w:val="00346D76"/>
    <w:rsid w:val="003B1205"/>
    <w:rsid w:val="004553F9"/>
    <w:rsid w:val="004C5578"/>
    <w:rsid w:val="004F019D"/>
    <w:rsid w:val="004F2F86"/>
    <w:rsid w:val="00505975"/>
    <w:rsid w:val="005066A3"/>
    <w:rsid w:val="00524773"/>
    <w:rsid w:val="00525243"/>
    <w:rsid w:val="0053027C"/>
    <w:rsid w:val="00560DA1"/>
    <w:rsid w:val="005D729C"/>
    <w:rsid w:val="00610B0D"/>
    <w:rsid w:val="00623018"/>
    <w:rsid w:val="00670776"/>
    <w:rsid w:val="0069069A"/>
    <w:rsid w:val="00725346"/>
    <w:rsid w:val="00785045"/>
    <w:rsid w:val="0078720B"/>
    <w:rsid w:val="00793495"/>
    <w:rsid w:val="0079775C"/>
    <w:rsid w:val="007D1D0D"/>
    <w:rsid w:val="00801812"/>
    <w:rsid w:val="00835704"/>
    <w:rsid w:val="00846BF9"/>
    <w:rsid w:val="008B041B"/>
    <w:rsid w:val="00937C49"/>
    <w:rsid w:val="00964D83"/>
    <w:rsid w:val="00976F8E"/>
    <w:rsid w:val="00987EF9"/>
    <w:rsid w:val="009C7C9E"/>
    <w:rsid w:val="009E272D"/>
    <w:rsid w:val="00A164EB"/>
    <w:rsid w:val="00B04D92"/>
    <w:rsid w:val="00B60CAC"/>
    <w:rsid w:val="00B70455"/>
    <w:rsid w:val="00B76DCF"/>
    <w:rsid w:val="00BB274B"/>
    <w:rsid w:val="00BC5F87"/>
    <w:rsid w:val="00BE470E"/>
    <w:rsid w:val="00C37CDE"/>
    <w:rsid w:val="00C550C0"/>
    <w:rsid w:val="00C76FA3"/>
    <w:rsid w:val="00CD3091"/>
    <w:rsid w:val="00D334C7"/>
    <w:rsid w:val="00D8352E"/>
    <w:rsid w:val="00DA1412"/>
    <w:rsid w:val="00DD4E84"/>
    <w:rsid w:val="00DF7F14"/>
    <w:rsid w:val="00E244A3"/>
    <w:rsid w:val="00E323CF"/>
    <w:rsid w:val="00E4157C"/>
    <w:rsid w:val="00E94704"/>
    <w:rsid w:val="00EA193A"/>
    <w:rsid w:val="00EB6EA2"/>
    <w:rsid w:val="00EC5239"/>
    <w:rsid w:val="00EC5536"/>
    <w:rsid w:val="00F15E2D"/>
    <w:rsid w:val="00F5699D"/>
    <w:rsid w:val="00FC2D5C"/>
    <w:rsid w:val="02766491"/>
    <w:rsid w:val="03DF154C"/>
    <w:rsid w:val="058222D7"/>
    <w:rsid w:val="07E17F74"/>
    <w:rsid w:val="09396569"/>
    <w:rsid w:val="0B287266"/>
    <w:rsid w:val="0B7728F6"/>
    <w:rsid w:val="0C28479E"/>
    <w:rsid w:val="0D097E7F"/>
    <w:rsid w:val="0D987D5B"/>
    <w:rsid w:val="0F6760B3"/>
    <w:rsid w:val="10500007"/>
    <w:rsid w:val="1B8010C3"/>
    <w:rsid w:val="1BFE752D"/>
    <w:rsid w:val="1CAB032D"/>
    <w:rsid w:val="215914CC"/>
    <w:rsid w:val="254E1E80"/>
    <w:rsid w:val="27137BD4"/>
    <w:rsid w:val="2840722B"/>
    <w:rsid w:val="29B35C1C"/>
    <w:rsid w:val="2A12264E"/>
    <w:rsid w:val="2A4E058B"/>
    <w:rsid w:val="2CBB3B99"/>
    <w:rsid w:val="2D212E0B"/>
    <w:rsid w:val="2D8D1C0B"/>
    <w:rsid w:val="2F031526"/>
    <w:rsid w:val="2FAD5DD7"/>
    <w:rsid w:val="32032AE3"/>
    <w:rsid w:val="326275BF"/>
    <w:rsid w:val="360E44D5"/>
    <w:rsid w:val="3A8F60DA"/>
    <w:rsid w:val="3F1A1439"/>
    <w:rsid w:val="41184DC9"/>
    <w:rsid w:val="4366423A"/>
    <w:rsid w:val="45C706D0"/>
    <w:rsid w:val="477B3992"/>
    <w:rsid w:val="4A2523C9"/>
    <w:rsid w:val="520E1A6A"/>
    <w:rsid w:val="52D856FD"/>
    <w:rsid w:val="537B0FB9"/>
    <w:rsid w:val="53963542"/>
    <w:rsid w:val="53B277B0"/>
    <w:rsid w:val="56A90471"/>
    <w:rsid w:val="5FF07AF9"/>
    <w:rsid w:val="63561EFF"/>
    <w:rsid w:val="649A22EC"/>
    <w:rsid w:val="66BA5898"/>
    <w:rsid w:val="67B42DBF"/>
    <w:rsid w:val="69AC2E6B"/>
    <w:rsid w:val="6A0E6070"/>
    <w:rsid w:val="6BA741DD"/>
    <w:rsid w:val="6C5A4E9C"/>
    <w:rsid w:val="6CFD565D"/>
    <w:rsid w:val="6D7A7F4B"/>
    <w:rsid w:val="72367773"/>
    <w:rsid w:val="7263010E"/>
    <w:rsid w:val="72701B72"/>
    <w:rsid w:val="7310577B"/>
    <w:rsid w:val="735B533A"/>
    <w:rsid w:val="756B14DF"/>
    <w:rsid w:val="778A2AFE"/>
    <w:rsid w:val="78F46CC0"/>
    <w:rsid w:val="79835A97"/>
    <w:rsid w:val="7A124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keepLines/>
      <w:spacing w:before="340" w:after="330" w:line="578" w:lineRule="auto"/>
      <w:outlineLvl w:val="0"/>
    </w:pPr>
    <w:rPr>
      <w:b/>
      <w:kern w:val="44"/>
      <w:sz w:val="44"/>
    </w:rPr>
  </w:style>
  <w:style w:type="paragraph" w:styleId="3">
    <w:name w:val="heading 2"/>
    <w:basedOn w:val="1"/>
    <w:next w:val="1"/>
    <w:unhideWhenUsed/>
    <w:qFormat/>
    <w:uiPriority w:val="9"/>
    <w:pPr>
      <w:keepNext/>
      <w:keepLines/>
      <w:spacing w:before="260" w:after="260" w:line="415" w:lineRule="auto"/>
      <w:outlineLvl w:val="1"/>
    </w:pPr>
    <w:rPr>
      <w:rFonts w:ascii="Arial" w:hAnsi="Arial" w:eastAsia="黑体"/>
      <w:b/>
      <w:sz w:val="32"/>
    </w:rPr>
  </w:style>
  <w:style w:type="paragraph" w:styleId="4">
    <w:name w:val="heading 3"/>
    <w:basedOn w:val="1"/>
    <w:next w:val="1"/>
    <w:semiHidden/>
    <w:unhideWhenUsed/>
    <w:qFormat/>
    <w:uiPriority w:val="9"/>
    <w:pPr>
      <w:keepNext/>
      <w:keepLines/>
      <w:spacing w:before="260" w:after="260" w:line="415"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17"/>
    <w:qFormat/>
    <w:uiPriority w:val="0"/>
    <w:pPr>
      <w:adjustRightInd w:val="0"/>
      <w:snapToGrid w:val="0"/>
      <w:spacing w:line="360" w:lineRule="auto"/>
    </w:pPr>
    <w:rPr>
      <w:sz w:val="24"/>
    </w:rPr>
  </w:style>
  <w:style w:type="paragraph" w:styleId="6">
    <w:name w:val="Plain Text"/>
    <w:basedOn w:val="1"/>
    <w:link w:val="18"/>
    <w:qFormat/>
    <w:uiPriority w:val="0"/>
    <w:rPr>
      <w:rFonts w:ascii="宋体" w:hAnsi="Courier New"/>
    </w:rPr>
  </w:style>
  <w:style w:type="paragraph" w:styleId="7">
    <w:name w:val="Balloon Text"/>
    <w:basedOn w:val="1"/>
    <w:link w:val="20"/>
    <w:semiHidden/>
    <w:unhideWhenUsed/>
    <w:qFormat/>
    <w:uiPriority w:val="99"/>
    <w:rPr>
      <w:sz w:val="18"/>
      <w:szCs w:val="18"/>
    </w:rPr>
  </w:style>
  <w:style w:type="paragraph" w:styleId="8">
    <w:name w:val="footer"/>
    <w:basedOn w:val="1"/>
    <w:link w:val="19"/>
    <w:qFormat/>
    <w:uiPriority w:val="99"/>
    <w:pPr>
      <w:tabs>
        <w:tab w:val="center" w:pos="4153"/>
        <w:tab w:val="right" w:pos="8307"/>
      </w:tabs>
      <w:snapToGrid w:val="0"/>
      <w:jc w:val="left"/>
    </w:pPr>
    <w:rPr>
      <w:sz w:val="18"/>
    </w:rPr>
  </w:style>
  <w:style w:type="paragraph" w:styleId="9">
    <w:name w:val="header"/>
    <w:basedOn w:val="1"/>
    <w:qFormat/>
    <w:uiPriority w:val="0"/>
    <w:pPr>
      <w:pBdr>
        <w:bottom w:val="single" w:color="auto" w:sz="6" w:space="1"/>
      </w:pBdr>
      <w:tabs>
        <w:tab w:val="center" w:pos="4153"/>
        <w:tab w:val="right" w:pos="8307"/>
      </w:tabs>
      <w:snapToGrid w:val="0"/>
      <w:jc w:val="center"/>
    </w:pPr>
    <w:rPr>
      <w:sz w:val="18"/>
    </w:rPr>
  </w:style>
  <w:style w:type="paragraph" w:styleId="10">
    <w:name w:val="toc 1"/>
    <w:next w:val="1"/>
    <w:qFormat/>
    <w:uiPriority w:val="0"/>
    <w:pPr>
      <w:widowControl w:val="0"/>
      <w:jc w:val="center"/>
    </w:pPr>
    <w:rPr>
      <w:rFonts w:ascii="Times New Roman" w:hAnsi="Times New Roman" w:eastAsia="宋体" w:cs="Times New Roman"/>
      <w:kern w:val="2"/>
      <w:sz w:val="30"/>
      <w:szCs w:val="30"/>
      <w:lang w:val="en-US" w:eastAsia="zh-CN" w:bidi="ar-SA"/>
    </w:rPr>
  </w:style>
  <w:style w:type="paragraph" w:styleId="11">
    <w:name w:val="index 7"/>
    <w:basedOn w:val="1"/>
    <w:next w:val="1"/>
    <w:qFormat/>
    <w:uiPriority w:val="0"/>
    <w:pPr>
      <w:ind w:left="2520"/>
      <w:jc w:val="center"/>
    </w:pPr>
  </w:style>
  <w:style w:type="paragraph" w:styleId="12">
    <w:name w:val="toc 2"/>
    <w:basedOn w:val="1"/>
    <w:next w:val="1"/>
    <w:qFormat/>
    <w:uiPriority w:val="0"/>
    <w:pPr>
      <w:ind w:left="420"/>
    </w:pPr>
  </w:style>
  <w:style w:type="paragraph" w:styleId="13">
    <w:name w:val="Title"/>
    <w:basedOn w:val="1"/>
    <w:qFormat/>
    <w:uiPriority w:val="10"/>
    <w:pPr>
      <w:spacing w:before="240" w:after="60"/>
      <w:jc w:val="center"/>
      <w:outlineLvl w:val="0"/>
    </w:pPr>
    <w:rPr>
      <w:rFonts w:ascii="Arial" w:hAnsi="Arial"/>
      <w:b/>
      <w:sz w:val="32"/>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正文文本 字符"/>
    <w:basedOn w:val="16"/>
    <w:link w:val="5"/>
    <w:qFormat/>
    <w:uiPriority w:val="0"/>
    <w:rPr>
      <w:kern w:val="2"/>
      <w:sz w:val="24"/>
    </w:rPr>
  </w:style>
  <w:style w:type="character" w:customStyle="1" w:styleId="18">
    <w:name w:val="纯文本 字符"/>
    <w:basedOn w:val="16"/>
    <w:link w:val="6"/>
    <w:qFormat/>
    <w:uiPriority w:val="0"/>
    <w:rPr>
      <w:rFonts w:ascii="宋体" w:hAnsi="Courier New"/>
      <w:kern w:val="2"/>
      <w:sz w:val="21"/>
    </w:rPr>
  </w:style>
  <w:style w:type="character" w:customStyle="1" w:styleId="19">
    <w:name w:val="页脚 字符"/>
    <w:basedOn w:val="16"/>
    <w:link w:val="8"/>
    <w:qFormat/>
    <w:uiPriority w:val="99"/>
    <w:rPr>
      <w:kern w:val="2"/>
      <w:sz w:val="18"/>
    </w:rPr>
  </w:style>
  <w:style w:type="character" w:customStyle="1" w:styleId="20">
    <w:name w:val="批注框文本 字符"/>
    <w:basedOn w:val="16"/>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1</Company>
  <Pages>43</Pages>
  <Words>2897</Words>
  <Characters>2977</Characters>
  <Lines>23</Lines>
  <Paragraphs>6</Paragraphs>
  <TotalTime>0</TotalTime>
  <ScaleCrop>false</ScaleCrop>
  <LinksUpToDate>false</LinksUpToDate>
  <CharactersWithSpaces>3006</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2018-08-14T09:06:00Z</dcterms:created>
  <dc:creator>Admin</dc:creator>
  <cp:lastModifiedBy>HYLY</cp:lastModifiedBy>
  <cp:lastPrinted>2018-11-16T07:11:00Z</cp:lastPrinted>
  <dcterms:modified xsi:type="dcterms:W3CDTF">2019-08-24T10:16:39Z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