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hint="default" w:ascii="宋体" w:hAnsi="宋体" w:eastAsia="宋体"/>
                <w:sz w:val="21"/>
                <w:szCs w:val="21"/>
                <w:lang w:val="en-US" w:eastAsia="zh-CN"/>
              </w:rPr>
            </w:pPr>
            <w:r>
              <w:rPr>
                <w:rFonts w:hint="default" w:ascii="宋体" w:hAnsi="宋体" w:eastAsia="宋体"/>
                <w:sz w:val="21"/>
                <w:szCs w:val="21"/>
                <w:lang w:val="en-US" w:eastAsia="zh-CN"/>
              </w:rPr>
              <w:t>年产1300吨硬质合金产品项目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hint="eastAsia" w:ascii="宋体" w:hAnsi="宋体" w:eastAsia="宋体"/>
                <w:sz w:val="21"/>
                <w:szCs w:val="21"/>
                <w:lang w:val="en-US" w:eastAsia="zh-CN"/>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highlight w:val="red"/>
              </w:rPr>
            </w:pPr>
          </w:p>
          <w:p>
            <w:pPr>
              <w:adjustRightInd w:val="0"/>
              <w:snapToGrid w:val="0"/>
              <w:ind w:firstLine="420" w:firstLineChars="200"/>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干燥工序产生的有机废气（甲醇）经冷凝回收处理后在车间内无组织排放；烧结工序产生的有机废气（石蜡蒸气）经设备自带石蜡冷凝回收+活性炭处理+18m排气筒P1、P2；修形工序产生的含金属粉尘废气经固定集气罩收集至移动脉冲除尘器处理（设备收集效率取90%，处理效率按95%计算）后在合金车间内无组织排放。内研磨、喷砂等工序产生的含金属粉尘废气经集气管路收集至移动脉冲除尘器处理（设备收集效率取100%，处理效率按95%计算）后在模具车间内无组织排放。抛丸粉尘经设备自带布袋除尘器处理后在模具车间内无组织排放；</w:t>
            </w:r>
          </w:p>
          <w:p>
            <w:pPr>
              <w:adjustRightInd w:val="0"/>
              <w:snapToGrid w:val="0"/>
              <w:ind w:firstLine="420" w:firstLineChars="200"/>
              <w:rPr>
                <w:rFonts w:hint="default" w:ascii="宋体" w:hAnsi="宋体" w:eastAsia="宋体"/>
                <w:sz w:val="21"/>
                <w:szCs w:val="21"/>
                <w:highlight w:val="none"/>
                <w:lang w:val="en-US" w:eastAsia="zh-CN"/>
              </w:rPr>
            </w:pPr>
            <w:r>
              <w:rPr>
                <w:rFonts w:hint="default" w:ascii="宋体" w:hAnsi="宋体" w:eastAsia="宋体"/>
                <w:sz w:val="21"/>
                <w:szCs w:val="21"/>
                <w:highlight w:val="none"/>
                <w:lang w:val="en-US" w:eastAsia="zh-CN"/>
              </w:rPr>
              <w:t>本项目无新增生活污水，新增废水主要为设备清洗废水和振动研磨废水，其中振动研磨废水经振动研磨房内沉淀池（三级沉淀）沉淀后与设备清洗废水混合后经厂区沉淀池（三级沉淀）后外排至咸阳路污水处理厂。</w:t>
            </w:r>
          </w:p>
          <w:p>
            <w:pPr>
              <w:adjustRightInd w:val="0"/>
              <w:snapToGrid w:val="0"/>
              <w:rPr>
                <w:rFonts w:hint="eastAsia" w:ascii="宋体" w:hAnsi="宋体" w:eastAsia="宋体"/>
                <w:sz w:val="21"/>
                <w:szCs w:val="21"/>
                <w:highlight w:val="none"/>
              </w:rPr>
            </w:pPr>
          </w:p>
          <w:p>
            <w:pPr>
              <w:adjustRightInd w:val="0"/>
              <w:snapToGrid w:val="0"/>
              <w:ind w:firstLine="420" w:firstLineChars="200"/>
              <w:rPr>
                <w:rFonts w:hint="default" w:ascii="宋体" w:hAnsi="宋体" w:eastAsia="宋体"/>
                <w:sz w:val="21"/>
                <w:szCs w:val="21"/>
                <w:highlight w:val="none"/>
                <w:lang w:val="en-US" w:eastAsia="zh-CN"/>
              </w:rPr>
            </w:pPr>
            <w:r>
              <w:rPr>
                <w:rFonts w:hint="eastAsia" w:ascii="宋体" w:hAnsi="宋体" w:eastAsia="宋体"/>
                <w:sz w:val="21"/>
                <w:szCs w:val="21"/>
                <w:highlight w:val="none"/>
                <w:lang w:val="en-US" w:eastAsia="zh-CN"/>
              </w:rPr>
              <w:t>建议使用低噪声设备，并采取隔声减振措施，减少噪声对周边的影响</w:t>
            </w:r>
          </w:p>
          <w:p>
            <w:pPr>
              <w:adjustRightInd w:val="0"/>
              <w:snapToGrid w:val="0"/>
              <w:rPr>
                <w:rFonts w:ascii="宋体" w:hAnsi="宋体" w:eastAsia="宋体"/>
                <w:sz w:val="21"/>
                <w:szCs w:val="21"/>
                <w:highlight w:val="none"/>
              </w:rPr>
            </w:pPr>
          </w:p>
          <w:p>
            <w:pPr>
              <w:adjustRightInd w:val="0"/>
              <w:snapToGrid w:val="0"/>
              <w:ind w:firstLine="420" w:firstLineChars="200"/>
              <w:rPr>
                <w:rFonts w:hint="eastAsia" w:ascii="宋体" w:hAnsi="宋体" w:eastAsia="宋体"/>
                <w:sz w:val="21"/>
                <w:szCs w:val="21"/>
                <w:highlight w:val="none"/>
                <w:lang w:val="en-US" w:eastAsia="zh-CN"/>
              </w:rPr>
            </w:pPr>
            <w:r>
              <w:rPr>
                <w:rFonts w:hint="eastAsia" w:ascii="宋体" w:hAnsi="宋体" w:eastAsia="宋体"/>
                <w:sz w:val="21"/>
                <w:szCs w:val="21"/>
                <w:highlight w:val="none"/>
                <w:lang w:val="en-US" w:eastAsia="zh-CN"/>
              </w:rPr>
              <w:t>建议一般固体废物集中收集后作为二次料回用于生产或集中收集后外售；危险废物，暂存危废间，定期由有资质单位处理。</w:t>
            </w:r>
          </w:p>
          <w:p>
            <w:pPr>
              <w:adjustRightInd w:val="0"/>
              <w:snapToGrid w:val="0"/>
              <w:rPr>
                <w:rFonts w:hint="eastAsia" w:ascii="宋体" w:hAnsi="宋体" w:eastAsia="宋体"/>
                <w:sz w:val="21"/>
                <w:szCs w:val="21"/>
                <w:highlight w:val="none"/>
              </w:rPr>
            </w:pPr>
          </w:p>
          <w:p>
            <w:pPr>
              <w:adjustRightInd w:val="0"/>
              <w:snapToGrid w:val="0"/>
              <w:rPr>
                <w:rFonts w:hint="eastAsia" w:ascii="宋体" w:hAnsi="宋体" w:eastAsia="宋体"/>
                <w:sz w:val="21"/>
                <w:szCs w:val="21"/>
                <w:highlight w:val="none"/>
              </w:rPr>
            </w:pPr>
          </w:p>
          <w:p>
            <w:pPr>
              <w:adjustRightInd w:val="0"/>
              <w:snapToGrid w:val="0"/>
              <w:rPr>
                <w:rFonts w:hint="eastAsia" w:ascii="宋体" w:hAnsi="宋体" w:eastAsia="宋体"/>
                <w:sz w:val="21"/>
                <w:szCs w:val="21"/>
              </w:rPr>
            </w:pPr>
          </w:p>
          <w:p>
            <w:pPr>
              <w:pStyle w:val="2"/>
              <w:rPr>
                <w:rFonts w:hint="eastAsia"/>
              </w:rPr>
            </w:pPr>
            <w:bookmarkStart w:id="0" w:name="_GoBack"/>
            <w:bookmarkEnd w:id="0"/>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27038CE"/>
    <w:rsid w:val="31A55667"/>
    <w:rsid w:val="3BE25EDE"/>
    <w:rsid w:val="44EB321A"/>
    <w:rsid w:val="55C442E9"/>
    <w:rsid w:val="55C72E62"/>
    <w:rsid w:val="61E60980"/>
    <w:rsid w:val="6D535020"/>
    <w:rsid w:val="72745647"/>
    <w:rsid w:val="7D723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1"/>
    <w:basedOn w:val="1"/>
    <w:next w:val="1"/>
    <w:qFormat/>
    <w:uiPriority w:val="39"/>
    <w:pPr>
      <w:spacing w:line="480" w:lineRule="auto"/>
      <w:jc w:val="center"/>
    </w:pPr>
    <w:rPr>
      <w:rFonts w:ascii="黑体" w:hAnsi="Calibri" w:eastAsia="黑体"/>
      <w:sz w:val="28"/>
      <w:szCs w:val="28"/>
      <w:lang w:bidi="en-US"/>
    </w:rPr>
  </w:style>
  <w:style w:type="paragraph" w:styleId="4">
    <w:name w:val="Block Text"/>
    <w:basedOn w:val="1"/>
    <w:next w:val="1"/>
    <w:qFormat/>
    <w:uiPriority w:val="0"/>
    <w:pPr>
      <w:spacing w:line="360" w:lineRule="auto"/>
    </w:pPr>
    <w:rPr>
      <w:rFonts w:ascii="Times New Roman" w:hAnsi="Times New Roman"/>
    </w:rPr>
  </w:style>
  <w:style w:type="paragraph" w:customStyle="1" w:styleId="7">
    <w:name w:val="表头及表尾"/>
    <w:qFormat/>
    <w:uiPriority w:val="0"/>
    <w:pPr>
      <w:adjustRightInd w:val="0"/>
      <w:snapToGrid w:val="0"/>
      <w:spacing w:line="240" w:lineRule="auto"/>
      <w:jc w:val="center"/>
    </w:pPr>
    <w:rPr>
      <w:rFonts w:ascii="Times New Roman" w:hAnsi="Times New Roman" w:eastAsia="宋体" w:cstheme="minorBidi"/>
      <w:snapToGrid w:val="0"/>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wjx123</cp:lastModifiedBy>
  <dcterms:modified xsi:type="dcterms:W3CDTF">2020-03-24T02:51:46Z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